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182880"/>
          <w:sz w:val="26"/>
          <w:szCs w:val="26"/>
        </w:rPr>
        <w:t>入馆须知</w:t>
      </w:r>
      <w:r>
        <w:rPr>
          <w:color w:val="FFFFFF"/>
          <w:kern w:val="0"/>
          <w:lang w:val="en-US" w:eastAsia="zh-CN" w:bidi="ar"/>
        </w:rPr>
        <w:t xml:space="preserve">7 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120" w:afterAutospacing="0" w:line="420" w:lineRule="atLeast"/>
        <w:ind w:right="0" w:rightChars="0"/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本校读者凭本人校园卡经门禁系统刷卡入馆。读者离馆时请走监测通道，并请带走自身的书籍、物品。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120" w:afterAutospacing="0" w:line="420" w:lineRule="atLeast"/>
        <w:ind w:left="0" w:leftChars="0" w:right="0" w:rightChars="0" w:firstLine="0" w:firstLineChars="0"/>
        <w:rPr>
          <w:rFonts w:hint="default" w:ascii="fangsong_gb2312" w:hAnsi="fangsong_gb2312" w:eastAsia="fangsong_gb2312" w:cs="fangsong_gb2312"/>
          <w:color w:val="333333"/>
          <w:sz w:val="25"/>
          <w:szCs w:val="25"/>
          <w:lang w:val="en-US" w:eastAsia="zh-CN"/>
        </w:rPr>
      </w:pPr>
      <w:r>
        <w:rPr>
          <w:rFonts w:hint="eastAsia" w:ascii="fangsong_gb2312" w:hAnsi="fangsong_gb2312" w:eastAsia="宋体" w:cs="fangsong_gb2312"/>
          <w:color w:val="333333"/>
          <w:sz w:val="25"/>
          <w:szCs w:val="25"/>
          <w:lang w:val="en-US" w:eastAsia="zh-CN"/>
        </w:rPr>
        <w:t>读者入馆使用座位需凭一卡通预约座位。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182880"/>
          <w:sz w:val="26"/>
          <w:szCs w:val="26"/>
        </w:rPr>
        <w:t>图书借阅规则</w:t>
      </w:r>
      <w:r>
        <w:rPr>
          <w:rStyle w:val="26"/>
        </w:rPr>
        <w:t xml:space="preserve">4 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ascii="fangsong_gb2312" w:hAnsi="fangsong_gb2312" w:eastAsia="fangsong_gb2312" w:cs="fangsong_gb2312"/>
          <w:color w:val="333333"/>
          <w:sz w:val="25"/>
          <w:szCs w:val="25"/>
        </w:rPr>
        <w:t>1</w:t>
      </w: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．借还图书需到出纳台办理手续，读者必须使用本人校园卡。未办理借书手续而将图书带出图书馆者，以偷书论处。如出现异常情况，工作人员有权要求读者接受检查，读者应主动配合。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2．工具书、过刊合订本及现刊仅供阅览，不能外借。书脊贴有色标，色标最下端为红色时，表明该书为工具书、过刊合订本或为珍贵文献，不外借。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3．读者借书时，应检查图书的完整性，若发现色标、书标及条形码有问题，或图书残缺、污损等情况，应当场告知工作人员，以分清责任，由工作人员盖章确认；若读者不检查，还书时一旦发现上述情况，责任由读者自负，并按《损坏、偷窃书刊处理规定》予以处罚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4．读者在借、还书过程中，应通过对外显示器当场确认图书借阅信息是否正确、归还是否到位。若发现问题应立即告知工作人员，以避免产生纠纷。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5．教职工、研究生每人累计限借图书25册，借阅期限为180天，不可续借；本科生、专升本、专科生每人限借10册，借阅期限为30天，续借1次，可续借15天；读者协会每人限借20册，借阅期限为60天，续借1次，可续借15天。外借图书超期，归还者须交纳超期使用费，图书每册0.10元/天。假期内到期的图书，如在新学期正式开馆七天内归还，则不收取超期使用费，否则按实际超期天数收取超期使用费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6．读者借出的图书，本馆若有特殊需要，有权提前催还，读者应予以配合，及时归还。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7．丢失、污损书刊赔偿标准：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（1）允许购买与原书内容相同、或再版、或为该书修订版等更高版本的图书赔偿,另加5元的图书加工费。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（2）最近三年（指当年及往前追溯两年）图书遗失，以书价的2倍赔偿（珍贵图书除外）；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（3）1990年以前出版的书刊，按馆藏的复本量加倍赔偿，赔偿最高不超过300元（珍贵图书除外）,具体规定如下：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　①馆藏复本4册以上图书，按书价的6倍赔偿；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　②馆藏复本3册图书，按书价的8倍赔偿；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　③馆藏复本2册图书，按书价的10倍赔偿；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　④馆藏单本图书，按书价的14倍赔偿。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（4）其它年限内出版的图书，按以下标准赔偿：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　①馆藏复本3册以上图书，按书价的3倍赔偿；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　②馆藏复本2册图书，按书价的4倍赔偿；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　③馆藏单本图书，按书价的5倍赔偿。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（5）多卷书按全套书价格计算赔偿，期刊按全年刊价赔偿。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182880"/>
          <w:sz w:val="26"/>
          <w:szCs w:val="26"/>
        </w:rPr>
        <w:t>图书馆阅览规则</w:t>
      </w:r>
      <w:r>
        <w:rPr>
          <w:color w:val="FFFFFF"/>
          <w:kern w:val="0"/>
          <w:lang w:val="en-US" w:eastAsia="zh-CN" w:bidi="ar"/>
        </w:rPr>
        <w:t xml:space="preserve">78 </w:t>
      </w:r>
    </w:p>
    <w:p>
      <w:pPr>
        <w:pStyle w:val="4"/>
        <w:keepNext w:val="0"/>
        <w:keepLines w:val="0"/>
        <w:widowControl/>
        <w:suppressLineNumbers w:val="0"/>
        <w:spacing w:before="182" w:beforeAutospacing="0" w:after="60" w:afterAutospacing="0" w:line="384" w:lineRule="atLeast"/>
        <w:ind w:left="0" w:right="0"/>
        <w:rPr>
          <w:color w:val="333333"/>
          <w:sz w:val="16"/>
          <w:szCs w:val="16"/>
        </w:rPr>
      </w:pPr>
      <w:r>
        <w:rPr>
          <w:rFonts w:ascii="fangsong_gb2312" w:hAnsi="fangsong_gb2312" w:eastAsia="fangsong_gb2312" w:cs="fangsong_gb2312"/>
          <w:color w:val="333333"/>
          <w:sz w:val="25"/>
          <w:szCs w:val="25"/>
        </w:rPr>
        <w:t>1</w:t>
      </w: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．阅览区域内须保持安静，请在进入阅览区域前将手机调至静音状态；手机通话请到室外。</w:t>
      </w:r>
    </w:p>
    <w:p>
      <w:pPr>
        <w:pStyle w:val="4"/>
        <w:keepNext w:val="0"/>
        <w:keepLines w:val="0"/>
        <w:widowControl/>
        <w:suppressLineNumbers w:val="0"/>
        <w:spacing w:before="182" w:beforeAutospacing="0" w:after="60" w:afterAutospacing="0" w:line="384" w:lineRule="atLeast"/>
        <w:ind w:left="0" w:right="0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2．读者可携带学习用品进入阅览场所，但各类食品、饮料、雨具等请勿带入阅览区域。</w:t>
      </w:r>
    </w:p>
    <w:p>
      <w:pPr>
        <w:pStyle w:val="4"/>
        <w:keepNext w:val="0"/>
        <w:keepLines w:val="0"/>
        <w:widowControl/>
        <w:suppressLineNumbers w:val="0"/>
        <w:spacing w:before="182" w:beforeAutospacing="0" w:after="60" w:afterAutospacing="0" w:line="384" w:lineRule="atLeast"/>
        <w:ind w:left="0" w:right="0"/>
        <w:rPr>
          <w:color w:val="333333"/>
          <w:sz w:val="16"/>
          <w:szCs w:val="16"/>
        </w:rPr>
      </w:pPr>
      <w:bookmarkStart w:id="0" w:name="_GoBack"/>
      <w:bookmarkEnd w:id="0"/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3．请自觉维护阅览区域的正常秩序，不随意搬动室内家具。不用物品长时间占据座位，离开座位30分钟以上者视为自动放弃，其他读者可以使用座位。</w:t>
      </w:r>
    </w:p>
    <w:p>
      <w:pPr>
        <w:pStyle w:val="4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right="0"/>
        <w:jc w:val="right"/>
        <w:rPr>
          <w:color w:val="333333"/>
          <w:sz w:val="16"/>
          <w:szCs w:val="16"/>
        </w:rPr>
      </w:pPr>
      <w:r>
        <w:rPr>
          <w:rFonts w:hint="default" w:ascii="fangsong_gb2312" w:hAnsi="fangsong_gb2312" w:eastAsia="fangsong_gb2312" w:cs="fangsong_gb2312"/>
          <w:color w:val="333333"/>
          <w:sz w:val="25"/>
          <w:szCs w:val="25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FBC70"/>
    <w:multiLevelType w:val="singleLevel"/>
    <w:tmpl w:val="336FBC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095AB5"/>
      <w:kern w:val="44"/>
      <w:sz w:val="24"/>
      <w:szCs w:val="24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 w:line="21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B3B3B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3B3B3B"/>
      <w:u w:val="none"/>
    </w:rPr>
  </w:style>
  <w:style w:type="character" w:styleId="13">
    <w:name w:val="HTML Code"/>
    <w:basedOn w:val="6"/>
    <w:uiPriority w:val="0"/>
    <w:rPr>
      <w:rFonts w:ascii="Courier New" w:hAnsi="Courier New"/>
      <w:sz w:val="20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ascii="Courier New" w:hAnsi="Courier New"/>
      <w:sz w:val="20"/>
    </w:rPr>
  </w:style>
  <w:style w:type="character" w:styleId="16">
    <w:name w:val="HTML Sample"/>
    <w:basedOn w:val="6"/>
    <w:uiPriority w:val="0"/>
    <w:rPr>
      <w:rFonts w:ascii="Courier New" w:hAnsi="Courier New"/>
      <w:vanish/>
      <w:color w:val="777777"/>
      <w:sz w:val="15"/>
      <w:szCs w:val="15"/>
    </w:rPr>
  </w:style>
  <w:style w:type="character" w:customStyle="1" w:styleId="17">
    <w:name w:val="news_title14"/>
    <w:basedOn w:val="6"/>
    <w:uiPriority w:val="0"/>
    <w:rPr>
      <w:color w:val="000000"/>
      <w:bdr w:val="none" w:color="auto" w:sz="0" w:space="0"/>
    </w:rPr>
  </w:style>
  <w:style w:type="character" w:customStyle="1" w:styleId="18">
    <w:name w:val="news_title15"/>
    <w:basedOn w:val="6"/>
    <w:uiPriority w:val="0"/>
  </w:style>
  <w:style w:type="paragraph" w:customStyle="1" w:styleId="19">
    <w:name w:val="arti_metas"/>
    <w:basedOn w:val="1"/>
    <w:uiPriority w:val="0"/>
    <w:pPr>
      <w:pBdr>
        <w:top w:val="single" w:color="ECECEC" w:sz="4" w:space="6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character" w:customStyle="1" w:styleId="20">
    <w:name w:val="article_visitcount2"/>
    <w:basedOn w:val="6"/>
    <w:uiPriority w:val="0"/>
  </w:style>
  <w:style w:type="character" w:customStyle="1" w:styleId="21">
    <w:name w:val="column-name18"/>
    <w:basedOn w:val="6"/>
    <w:uiPriority w:val="0"/>
    <w:rPr>
      <w:color w:val="0F429B"/>
    </w:rPr>
  </w:style>
  <w:style w:type="character" w:customStyle="1" w:styleId="22">
    <w:name w:val="item-name"/>
    <w:basedOn w:val="6"/>
    <w:uiPriority w:val="0"/>
    <w:rPr>
      <w:bdr w:val="none" w:color="auto" w:sz="0" w:space="0"/>
    </w:rPr>
  </w:style>
  <w:style w:type="character" w:customStyle="1" w:styleId="23">
    <w:name w:val="item-name1"/>
    <w:basedOn w:val="6"/>
    <w:uiPriority w:val="0"/>
    <w:rPr>
      <w:bdr w:val="none" w:color="auto" w:sz="0" w:space="0"/>
    </w:rPr>
  </w:style>
  <w:style w:type="character" w:customStyle="1" w:styleId="24">
    <w:name w:val="pubdate-month"/>
    <w:basedOn w:val="6"/>
    <w:uiPriority w:val="0"/>
    <w:rPr>
      <w:color w:val="FFFFFF"/>
      <w:sz w:val="19"/>
      <w:szCs w:val="19"/>
      <w:shd w:val="clear" w:fill="CC0000"/>
    </w:rPr>
  </w:style>
  <w:style w:type="character" w:customStyle="1" w:styleId="25">
    <w:name w:val="pubdate-day"/>
    <w:basedOn w:val="6"/>
    <w:uiPriority w:val="0"/>
    <w:rPr>
      <w:shd w:val="clear" w:fill="F2F2F2"/>
    </w:rPr>
  </w:style>
  <w:style w:type="character" w:customStyle="1" w:styleId="26">
    <w:name w:val="wp_visitcount2"/>
    <w:basedOn w:val="6"/>
    <w:uiPriority w:val="0"/>
    <w:rPr>
      <w:color w:val="FFFFFF"/>
    </w:rPr>
  </w:style>
  <w:style w:type="character" w:customStyle="1" w:styleId="27">
    <w:name w:val="news_meta2"/>
    <w:basedOn w:val="6"/>
    <w:uiPriority w:val="0"/>
    <w:rPr>
      <w:color w:val="9C9C9C"/>
    </w:rPr>
  </w:style>
  <w:style w:type="character" w:customStyle="1" w:styleId="28">
    <w:name w:val="wp_gallery_time"/>
    <w:basedOn w:val="6"/>
    <w:uiPriority w:val="0"/>
    <w:rPr>
      <w:vanish/>
    </w:rPr>
  </w:style>
  <w:style w:type="character" w:customStyle="1" w:styleId="29">
    <w:name w:val="news_title"/>
    <w:basedOn w:val="6"/>
    <w:uiPriority w:val="0"/>
    <w:rPr>
      <w:color w:val="000000"/>
      <w:bdr w:val="none" w:color="auto" w:sz="0" w:space="0"/>
    </w:rPr>
  </w:style>
  <w:style w:type="character" w:customStyle="1" w:styleId="30">
    <w:name w:val="news_title1"/>
    <w:basedOn w:val="6"/>
    <w:uiPriority w:val="0"/>
  </w:style>
  <w:style w:type="character" w:customStyle="1" w:styleId="31">
    <w:name w:val="item-name12"/>
    <w:basedOn w:val="6"/>
    <w:uiPriority w:val="0"/>
    <w:rPr>
      <w:bdr w:val="none" w:color="auto" w:sz="0" w:space="0"/>
    </w:rPr>
  </w:style>
  <w:style w:type="character" w:customStyle="1" w:styleId="32">
    <w:name w:val="item-name13"/>
    <w:basedOn w:val="6"/>
    <w:uiPriority w:val="0"/>
    <w:rPr>
      <w:bdr w:val="none" w:color="auto" w:sz="0" w:space="0"/>
    </w:rPr>
  </w:style>
  <w:style w:type="character" w:customStyle="1" w:styleId="33">
    <w:name w:val="news_meta"/>
    <w:basedOn w:val="6"/>
    <w:uiPriority w:val="0"/>
    <w:rPr>
      <w:color w:val="9C9C9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2020-10-29T02:38:47Z</dcterms:created>
  <dc:creator>YJS-401</dc:creator>
  <cp:lastModifiedBy>多利</cp:lastModifiedBy>
  <dcterms:modified xsi:type="dcterms:W3CDTF">2020-10-29T02:45:19Z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