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E9272">
      <w:pPr>
        <w:ind w:firstLine="1572"/>
        <w:rPr>
          <w:rFonts w:ascii="宋体" w:hAnsi="宋体"/>
          <w:b/>
          <w:w w:val="150"/>
          <w:sz w:val="52"/>
        </w:rPr>
      </w:pPr>
    </w:p>
    <w:p w14:paraId="5F8273B8">
      <w:pPr>
        <w:spacing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54012817">
      <w:pPr>
        <w:rPr>
          <w:rFonts w:ascii="宋体" w:hAnsi="宋体"/>
          <w:b/>
          <w:bCs/>
          <w:sz w:val="48"/>
          <w:szCs w:val="48"/>
        </w:rPr>
      </w:pPr>
    </w:p>
    <w:p w14:paraId="5AA7D30D">
      <w:pPr>
        <w:rPr>
          <w:rFonts w:ascii="宋体" w:hAnsi="宋体"/>
          <w:sz w:val="24"/>
        </w:rPr>
      </w:pPr>
    </w:p>
    <w:p w14:paraId="317A4425">
      <w:pPr>
        <w:tabs>
          <w:tab w:val="left" w:pos="1140"/>
        </w:tabs>
        <w:ind w:firstLine="1510" w:firstLineChars="472"/>
        <w:rPr>
          <w:rFonts w:ascii="宋体" w:hAnsi="宋体"/>
          <w:sz w:val="32"/>
        </w:rPr>
      </w:pPr>
    </w:p>
    <w:p w14:paraId="68EAB1D8">
      <w:pPr>
        <w:pStyle w:val="16"/>
      </w:pPr>
    </w:p>
    <w:p w14:paraId="5FC5BB0A"/>
    <w:p w14:paraId="27903DEC">
      <w:pPr>
        <w:spacing w:line="360" w:lineRule="auto"/>
        <w:ind w:firstLine="1446" w:firstLineChars="400"/>
        <w:rPr>
          <w:rFonts w:ascii="宋体" w:hAnsi="宋体"/>
          <w:sz w:val="32"/>
        </w:rPr>
      </w:pPr>
      <w:r>
        <w:rPr>
          <w:rFonts w:hint="eastAsia" w:ascii="宋体" w:hAnsi="宋体"/>
          <w:b/>
          <w:sz w:val="36"/>
          <w:szCs w:val="36"/>
        </w:rPr>
        <w:t>采购编号：</w:t>
      </w:r>
      <w:r>
        <w:rPr>
          <w:rFonts w:hint="eastAsia" w:ascii="宋体" w:hAnsi="宋体"/>
          <w:b/>
          <w:sz w:val="36"/>
          <w:szCs w:val="36"/>
          <w:u w:val="single"/>
        </w:rPr>
        <w:t xml:space="preserve">        </w:t>
      </w:r>
      <w:r>
        <w:rPr>
          <w:rFonts w:hint="eastAsia" w:ascii="宋体" w:hAnsi="宋体"/>
          <w:bCs/>
          <w:sz w:val="24"/>
          <w:u w:val="single"/>
        </w:rPr>
        <w:t>QZSFXYTSG2022002</w:t>
      </w:r>
      <w:r>
        <w:rPr>
          <w:rFonts w:hint="eastAsia" w:ascii="宋体" w:hAnsi="宋体" w:cs="Arial"/>
          <w:b/>
          <w:sz w:val="36"/>
          <w:szCs w:val="36"/>
          <w:u w:val="single"/>
        </w:rPr>
        <w:t xml:space="preserve">        </w:t>
      </w:r>
    </w:p>
    <w:p w14:paraId="13157EE9">
      <w:pPr>
        <w:ind w:firstLine="1446" w:firstLineChars="400"/>
        <w:rPr>
          <w:rFonts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w:t>
      </w:r>
      <w:r>
        <w:rPr>
          <w:rFonts w:hint="eastAsia" w:ascii="宋体" w:hAnsi="宋体"/>
          <w:bCs/>
          <w:sz w:val="24"/>
          <w:u w:val="single"/>
        </w:rPr>
        <w:t xml:space="preserve">泉州师范学院图书馆办公家具采购项目 </w:t>
      </w:r>
      <w:r>
        <w:rPr>
          <w:rFonts w:hint="eastAsia" w:ascii="宋体" w:hAnsi="宋体"/>
          <w:b/>
          <w:sz w:val="36"/>
          <w:szCs w:val="36"/>
          <w:u w:val="single"/>
        </w:rPr>
        <w:t xml:space="preserve">  </w:t>
      </w:r>
    </w:p>
    <w:p w14:paraId="42BD20ED">
      <w:pPr>
        <w:rPr>
          <w:rFonts w:ascii="宋体" w:hAnsi="宋体"/>
          <w:sz w:val="24"/>
        </w:rPr>
      </w:pPr>
    </w:p>
    <w:p w14:paraId="53C94519">
      <w:pPr>
        <w:rPr>
          <w:rFonts w:ascii="宋体" w:hAnsi="宋体"/>
        </w:rPr>
      </w:pPr>
    </w:p>
    <w:p w14:paraId="08297ACB">
      <w:pPr>
        <w:rPr>
          <w:rFonts w:ascii="宋体" w:hAnsi="宋体"/>
        </w:rPr>
      </w:pPr>
    </w:p>
    <w:p w14:paraId="1C80C86D">
      <w:pPr>
        <w:rPr>
          <w:rFonts w:ascii="宋体" w:hAnsi="宋体"/>
        </w:rPr>
      </w:pPr>
    </w:p>
    <w:p w14:paraId="29BC5601">
      <w:pPr>
        <w:ind w:firstLine="1792" w:firstLineChars="498"/>
        <w:rPr>
          <w:rFonts w:ascii="宋体" w:hAnsi="宋体"/>
          <w:sz w:val="36"/>
        </w:rPr>
      </w:pPr>
    </w:p>
    <w:p w14:paraId="19B65A90">
      <w:pPr>
        <w:pStyle w:val="16"/>
      </w:pPr>
    </w:p>
    <w:p w14:paraId="055D0858">
      <w:pPr>
        <w:rPr>
          <w:rFonts w:ascii="宋体" w:hAnsi="宋体"/>
          <w:b/>
          <w:sz w:val="36"/>
          <w:szCs w:val="36"/>
          <w:u w:val="single"/>
        </w:rPr>
      </w:pPr>
    </w:p>
    <w:p w14:paraId="7123D21F">
      <w:pPr>
        <w:jc w:val="center"/>
        <w:rPr>
          <w:rFonts w:ascii="宋体" w:hAnsi="宋体"/>
          <w:b/>
          <w:sz w:val="36"/>
          <w:szCs w:val="36"/>
        </w:rPr>
      </w:pPr>
      <w:r>
        <w:rPr>
          <w:rFonts w:hint="eastAsia" w:ascii="宋体" w:hAnsi="宋体"/>
          <w:b/>
          <w:sz w:val="36"/>
          <w:szCs w:val="36"/>
        </w:rPr>
        <w:t>泉州师范学院图书馆</w:t>
      </w:r>
    </w:p>
    <w:p w14:paraId="017761A9">
      <w:pPr>
        <w:spacing w:beforeLines="100" w:afterLines="100" w:line="360" w:lineRule="exact"/>
        <w:jc w:val="center"/>
        <w:rPr>
          <w:rFonts w:ascii="宋体" w:hAnsi="宋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851" w:left="1247" w:header="567" w:footer="567" w:gutter="0"/>
          <w:pgNumType w:start="1"/>
          <w:cols w:space="720" w:num="1"/>
          <w:titlePg/>
          <w:docGrid w:type="lines" w:linePitch="312" w:charSpace="0"/>
        </w:sectPr>
      </w:pPr>
      <w:r>
        <w:rPr>
          <w:rFonts w:hint="eastAsia" w:ascii="宋体" w:hAnsi="宋体"/>
          <w:b/>
          <w:sz w:val="36"/>
          <w:szCs w:val="36"/>
        </w:rPr>
        <w:t>2022年12月</w:t>
      </w:r>
    </w:p>
    <w:p w14:paraId="6218F7DA">
      <w:pPr>
        <w:pStyle w:val="2"/>
        <w:rPr>
          <w:color w:val="auto"/>
        </w:rPr>
      </w:pPr>
    </w:p>
    <w:p w14:paraId="02CFE75D">
      <w:pPr>
        <w:spacing w:beforeLines="100"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sdtPr>
      <w:sdtEndPr>
        <w:rPr>
          <w:rFonts w:hint="eastAsia" w:ascii="宋体" w:hAnsi="宋体" w:cs="宋体"/>
          <w:b/>
          <w:bCs/>
          <w:caps/>
          <w:sz w:val="20"/>
          <w:szCs w:val="20"/>
        </w:rPr>
      </w:sdtEndPr>
      <w:sdtContent>
        <w:p w14:paraId="03ABC4D1">
          <w:pPr>
            <w:jc w:val="center"/>
          </w:pPr>
        </w:p>
        <w:p w14:paraId="07B16562">
          <w:pPr>
            <w:pStyle w:val="13"/>
            <w:tabs>
              <w:tab w:val="right" w:leader="dot" w:pos="9525"/>
              <w:tab w:val="clear" w:pos="9515"/>
            </w:tabs>
            <w:spacing w:before="0" w:after="0" w:line="400" w:lineRule="exact"/>
            <w:ind w:firstLine="431"/>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2269BEAD">
          <w:pPr>
            <w:pStyle w:val="13"/>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7237B4FF">
          <w:pPr>
            <w:pStyle w:val="13"/>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2713EB88">
          <w:pPr>
            <w:pStyle w:val="13"/>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3CDE1CEF">
          <w:pPr>
            <w:pStyle w:val="13"/>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3E024743">
          <w:pPr>
            <w:pStyle w:val="13"/>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75107220">
          <w:pPr>
            <w:pStyle w:val="13"/>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07C84B12">
          <w:pPr>
            <w:pStyle w:val="13"/>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647EC81D">
          <w:pPr>
            <w:pStyle w:val="13"/>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19AC13B4">
          <w:pPr>
            <w:pStyle w:val="13"/>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30A54FCE">
          <w:pPr>
            <w:pStyle w:val="13"/>
            <w:spacing w:before="0" w:after="0" w:line="400" w:lineRule="exact"/>
            <w:ind w:firstLine="431"/>
            <w:rPr>
              <w:rFonts w:ascii="宋体" w:hAnsi="宋体" w:cs="宋体"/>
              <w:sz w:val="24"/>
              <w:szCs w:val="24"/>
            </w:rPr>
          </w:pPr>
          <w:r>
            <w:rPr>
              <w:rFonts w:hint="eastAsia" w:ascii="宋体" w:hAnsi="宋体" w:cs="宋体"/>
              <w:sz w:val="24"/>
              <w:szCs w:val="24"/>
            </w:rPr>
            <w:fldChar w:fldCharType="end"/>
          </w:r>
        </w:p>
      </w:sdtContent>
    </w:sdt>
    <w:p w14:paraId="2AD8BA16">
      <w:pPr>
        <w:spacing w:line="440" w:lineRule="exact"/>
        <w:rPr>
          <w:rFonts w:ascii="宋体" w:hAnsi="宋体" w:cs="宋体"/>
          <w:sz w:val="28"/>
          <w:szCs w:val="28"/>
        </w:rPr>
      </w:pPr>
    </w:p>
    <w:p w14:paraId="33A7A9F0"/>
    <w:p w14:paraId="1BD344FA"/>
    <w:p w14:paraId="60E40C8A"/>
    <w:p w14:paraId="0A0AFC03"/>
    <w:p w14:paraId="3DF3A6C6"/>
    <w:p w14:paraId="082AF0B7"/>
    <w:p w14:paraId="1652DB5B"/>
    <w:p w14:paraId="0D0F31E5"/>
    <w:p w14:paraId="40D6A73D">
      <w:pPr>
        <w:pStyle w:val="16"/>
      </w:pPr>
    </w:p>
    <w:p w14:paraId="299155D8"/>
    <w:p w14:paraId="78AF4CB9">
      <w:pPr>
        <w:pStyle w:val="16"/>
      </w:pPr>
    </w:p>
    <w:p w14:paraId="72EC351E"/>
    <w:p w14:paraId="576D1C89">
      <w:pPr>
        <w:pStyle w:val="2"/>
        <w:rPr>
          <w:color w:val="auto"/>
        </w:rPr>
      </w:pPr>
    </w:p>
    <w:p w14:paraId="249705D1">
      <w:pPr>
        <w:pStyle w:val="2"/>
        <w:rPr>
          <w:color w:val="auto"/>
        </w:rPr>
      </w:pPr>
    </w:p>
    <w:p w14:paraId="0E8C2736">
      <w:pPr>
        <w:pStyle w:val="2"/>
        <w:rPr>
          <w:color w:val="auto"/>
        </w:rPr>
      </w:pPr>
    </w:p>
    <w:p w14:paraId="4B500A8D">
      <w:pPr>
        <w:pStyle w:val="2"/>
        <w:rPr>
          <w:color w:val="auto"/>
        </w:rPr>
      </w:pPr>
    </w:p>
    <w:p w14:paraId="33B32CC3">
      <w:pPr>
        <w:pStyle w:val="2"/>
        <w:rPr>
          <w:color w:val="auto"/>
        </w:rPr>
      </w:pPr>
    </w:p>
    <w:p w14:paraId="1214A33D">
      <w:pPr>
        <w:pStyle w:val="2"/>
        <w:rPr>
          <w:color w:val="auto"/>
        </w:rPr>
      </w:pPr>
    </w:p>
    <w:p w14:paraId="1F84B064">
      <w:pPr>
        <w:pStyle w:val="2"/>
        <w:rPr>
          <w:color w:val="auto"/>
        </w:rPr>
      </w:pPr>
    </w:p>
    <w:p w14:paraId="5033E72A">
      <w:pPr>
        <w:pStyle w:val="3"/>
        <w:spacing w:before="0" w:after="0" w:line="360" w:lineRule="auto"/>
        <w:jc w:val="center"/>
        <w:rPr>
          <w:rFonts w:ascii="宋体" w:hAnsi="宋体" w:eastAsia="宋体"/>
          <w:sz w:val="36"/>
          <w:szCs w:val="36"/>
        </w:rPr>
      </w:pPr>
      <w:bookmarkStart w:id="0" w:name="_Toc10914"/>
      <w:bookmarkStart w:id="1" w:name="_Toc9763"/>
      <w:bookmarkStart w:id="2" w:name="_Toc26208"/>
      <w:bookmarkStart w:id="3" w:name="_Toc18223"/>
      <w:bookmarkStart w:id="4" w:name="_Toc134733479"/>
      <w:r>
        <w:rPr>
          <w:rFonts w:hint="eastAsia" w:ascii="宋体" w:hAnsi="宋体" w:eastAsia="宋体"/>
          <w:sz w:val="36"/>
          <w:szCs w:val="36"/>
        </w:rPr>
        <w:t>第一部分    询价邀请</w:t>
      </w:r>
      <w:bookmarkEnd w:id="0"/>
      <w:bookmarkEnd w:id="1"/>
      <w:bookmarkEnd w:id="2"/>
      <w:bookmarkEnd w:id="3"/>
      <w:bookmarkEnd w:id="4"/>
    </w:p>
    <w:p w14:paraId="4F0E4B0B">
      <w:pPr>
        <w:pStyle w:val="16"/>
        <w:spacing w:line="400" w:lineRule="exact"/>
        <w:ind w:firstLine="480" w:firstLineChars="200"/>
        <w:jc w:val="left"/>
        <w:rPr>
          <w:i w:val="0"/>
          <w:iCs w:val="0"/>
          <w:sz w:val="24"/>
          <w:szCs w:val="24"/>
        </w:rPr>
      </w:pPr>
      <w:bookmarkStart w:id="5" w:name="_Toc34745149"/>
      <w:bookmarkStart w:id="6" w:name="_Toc36123671"/>
      <w:bookmarkStart w:id="7" w:name="_Toc98672988"/>
      <w:bookmarkStart w:id="8" w:name="_Toc93397984"/>
      <w:bookmarkStart w:id="9" w:name="_Toc33953164"/>
      <w:bookmarkStart w:id="10" w:name="_Toc34703823"/>
      <w:bookmarkStart w:id="11" w:name="_Toc108260365"/>
      <w:bookmarkStart w:id="12" w:name="_Toc53335577"/>
      <w:bookmarkStart w:id="13" w:name="_Toc98731630"/>
      <w:bookmarkStart w:id="14" w:name="_Toc34789935"/>
      <w:bookmarkStart w:id="15" w:name="_Toc35599967"/>
      <w:bookmarkStart w:id="16" w:name="_Toc3785637"/>
      <w:bookmarkStart w:id="17" w:name="_Toc35622007"/>
      <w:bookmarkStart w:id="18" w:name="_Toc53570175"/>
      <w:bookmarkStart w:id="19" w:name="_Toc108257116"/>
      <w:bookmarkStart w:id="20" w:name="_Toc93397582"/>
      <w:bookmarkStart w:id="21" w:name="_Toc105389203"/>
      <w:bookmarkStart w:id="22" w:name="_Toc3785513"/>
      <w:bookmarkStart w:id="23" w:name="_Toc108257466"/>
      <w:bookmarkStart w:id="24" w:name="_Toc40761347"/>
      <w:bookmarkStart w:id="25" w:name="_Toc87857945"/>
      <w:bookmarkStart w:id="26" w:name="_Toc35222536"/>
      <w:bookmarkStart w:id="27" w:name="_Toc108257590"/>
      <w:bookmarkStart w:id="28" w:name="_Toc35071897"/>
      <w:bookmarkStart w:id="29" w:name="_Toc34664278"/>
      <w:bookmarkStart w:id="30" w:name="_Toc35742634"/>
      <w:bookmarkStart w:id="31" w:name="_Toc108257397"/>
      <w:bookmarkStart w:id="32" w:name="_Toc33775520"/>
      <w:bookmarkStart w:id="33" w:name="_Toc36146204"/>
      <w:bookmarkStart w:id="34" w:name="_Toc35107772"/>
      <w:bookmarkStart w:id="35" w:name="_Toc54513051"/>
      <w:bookmarkStart w:id="36" w:name="_Toc3785461"/>
      <w:bookmarkStart w:id="37" w:name="_Toc35068743"/>
      <w:bookmarkStart w:id="38" w:name="_Toc60130052"/>
      <w:bookmarkStart w:id="39" w:name="_Toc35941127"/>
      <w:bookmarkStart w:id="40" w:name="_Toc3785675"/>
      <w:bookmarkStart w:id="41" w:name="_Toc425276503"/>
      <w:r>
        <w:rPr>
          <w:rFonts w:hint="eastAsia" w:ascii="宋体" w:hAnsi="宋体"/>
          <w:i w:val="0"/>
          <w:iCs w:val="0"/>
          <w:sz w:val="24"/>
          <w:szCs w:val="24"/>
          <w:u w:val="single"/>
        </w:rPr>
        <w:t xml:space="preserve"> 泉州师范学院图书馆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w:t>
      </w:r>
    </w:p>
    <w:p w14:paraId="50DA9AA3">
      <w:pPr>
        <w:spacing w:line="400" w:lineRule="exact"/>
        <w:ind w:firstLine="480" w:firstLineChars="200"/>
        <w:rPr>
          <w:rFonts w:ascii="宋体" w:hAnsi="宋体"/>
          <w:sz w:val="24"/>
        </w:rPr>
      </w:pPr>
      <w:r>
        <w:rPr>
          <w:rFonts w:hint="eastAsia" w:ascii="宋体" w:hAnsi="宋体"/>
          <w:sz w:val="24"/>
        </w:rPr>
        <w:t>一、项目基本情况</w:t>
      </w:r>
    </w:p>
    <w:p w14:paraId="6C468BF4">
      <w:pPr>
        <w:spacing w:line="360" w:lineRule="auto"/>
        <w:ind w:firstLine="480" w:firstLineChars="200"/>
        <w:rPr>
          <w:rFonts w:ascii="宋体" w:hAnsi="宋体"/>
          <w:bCs/>
          <w:sz w:val="24"/>
          <w:u w:val="single"/>
        </w:rPr>
      </w:pPr>
      <w:r>
        <w:rPr>
          <w:rFonts w:hint="eastAsia" w:ascii="宋体" w:hAnsi="宋体"/>
          <w:sz w:val="24"/>
        </w:rPr>
        <w:t>采购编号：</w:t>
      </w:r>
      <w:r>
        <w:rPr>
          <w:rFonts w:hint="eastAsia" w:ascii="宋体" w:hAnsi="宋体"/>
          <w:bCs/>
          <w:sz w:val="24"/>
          <w:u w:val="single"/>
        </w:rPr>
        <w:t xml:space="preserve">            QZSFXYTSG2022002             </w:t>
      </w:r>
    </w:p>
    <w:p w14:paraId="62377E92">
      <w:pPr>
        <w:spacing w:line="360" w:lineRule="auto"/>
        <w:ind w:firstLine="480" w:firstLineChars="200"/>
        <w:rPr>
          <w:rFonts w:ascii="宋体" w:hAnsi="宋体"/>
          <w:sz w:val="24"/>
          <w:u w:val="single"/>
        </w:rPr>
      </w:pPr>
      <w:r>
        <w:rPr>
          <w:rFonts w:hint="eastAsia" w:ascii="宋体" w:hAnsi="宋体"/>
          <w:sz w:val="24"/>
        </w:rPr>
        <w:t>项目名称：</w:t>
      </w:r>
      <w:r>
        <w:rPr>
          <w:rFonts w:hint="eastAsia" w:ascii="宋体" w:hAnsi="宋体"/>
          <w:bCs/>
          <w:sz w:val="24"/>
          <w:u w:val="single"/>
        </w:rPr>
        <w:t xml:space="preserve"> 泉州师范学院图书馆办公家具采购项目</w:t>
      </w:r>
      <w:r>
        <w:rPr>
          <w:rFonts w:hint="eastAsia" w:ascii="宋体" w:hAnsi="宋体"/>
          <w:sz w:val="24"/>
          <w:u w:val="single"/>
        </w:rPr>
        <w:t xml:space="preserve"> </w:t>
      </w:r>
    </w:p>
    <w:p w14:paraId="1EBB9EFB">
      <w:pPr>
        <w:pStyle w:val="2"/>
        <w:spacing w:line="360" w:lineRule="auto"/>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84980.00元                  </w:t>
      </w:r>
    </w:p>
    <w:p w14:paraId="67214DE2">
      <w:pPr>
        <w:spacing w:afterLines="50" w:line="440" w:lineRule="exact"/>
        <w:ind w:firstLine="480" w:firstLineChars="200"/>
        <w:outlineLvl w:val="0"/>
        <w:rPr>
          <w:rFonts w:ascii="宋体" w:hAnsi="宋体"/>
          <w:sz w:val="24"/>
        </w:rPr>
      </w:pPr>
      <w:bookmarkStart w:id="42" w:name="_Toc491700004"/>
      <w:bookmarkStart w:id="43" w:name="_Toc13469"/>
      <w:bookmarkStart w:id="44" w:name="_Toc26626"/>
      <w:r>
        <w:rPr>
          <w:rFonts w:hint="eastAsia" w:ascii="宋体" w:hAnsi="宋体"/>
          <w:sz w:val="24"/>
        </w:rPr>
        <w:t>采购需求</w:t>
      </w:r>
      <w:bookmarkEnd w:id="42"/>
      <w:bookmarkEnd w:id="43"/>
      <w:bookmarkEnd w:id="44"/>
      <w:r>
        <w:rPr>
          <w:rFonts w:hint="eastAsia" w:ascii="宋体" w:hAnsi="宋体"/>
          <w:sz w:val="24"/>
        </w:rPr>
        <w:t>：</w:t>
      </w:r>
    </w:p>
    <w:tbl>
      <w:tblPr>
        <w:tblStyle w:val="20"/>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4404D834">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FAFBD3">
            <w:pPr>
              <w:pStyle w:val="15"/>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FE3DA98">
            <w:pPr>
              <w:pStyle w:val="15"/>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B688A10">
            <w:pPr>
              <w:pStyle w:val="15"/>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E846CF3">
            <w:pPr>
              <w:pStyle w:val="15"/>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B329304">
            <w:pPr>
              <w:pStyle w:val="15"/>
              <w:widowControl/>
              <w:jc w:val="center"/>
              <w:rPr>
                <w:rFonts w:ascii="宋体" w:hAnsi="宋体"/>
                <w:b/>
                <w:bCs/>
              </w:rPr>
            </w:pPr>
            <w:r>
              <w:rPr>
                <w:rFonts w:hint="eastAsia" w:ascii="宋体" w:hAnsi="宋体"/>
                <w:b/>
                <w:bCs/>
              </w:rPr>
              <w:t>询价内容及要求</w:t>
            </w:r>
          </w:p>
        </w:tc>
      </w:tr>
      <w:tr w14:paraId="577AB9AD">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3804F3">
            <w:pPr>
              <w:pStyle w:val="15"/>
              <w:widowControl/>
              <w:jc w:val="center"/>
              <w:rPr>
                <w:rFonts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3CA3504B">
            <w:pPr>
              <w:pStyle w:val="15"/>
              <w:widowControl/>
              <w:jc w:val="center"/>
              <w:rPr>
                <w:rFonts w:ascii="宋体" w:hAnsi="宋体"/>
              </w:rPr>
            </w:pPr>
            <w:r>
              <w:rPr>
                <w:rFonts w:hint="eastAsia" w:ascii="宋体" w:hAnsi="宋体"/>
              </w:rPr>
              <w:t>泉州师范学院图书馆办公家具采购项目</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1CC4472">
            <w:pPr>
              <w:pStyle w:val="15"/>
              <w:widowControl/>
              <w:jc w:val="center"/>
              <w:rPr>
                <w:rFonts w:ascii="宋体" w:hAnsi="宋体"/>
              </w:rPr>
            </w:pPr>
            <w:r>
              <w:rPr>
                <w:rFonts w:hint="eastAsia" w:ascii="宋体" w:hAnsi="宋体"/>
              </w:rPr>
              <w:t>批</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2145EBFE">
            <w:pPr>
              <w:pStyle w:val="15"/>
              <w:widowControl/>
              <w:jc w:val="center"/>
              <w:rPr>
                <w:rFonts w:ascii="宋体" w:hAnsi="宋体"/>
              </w:rPr>
            </w:pPr>
            <w:r>
              <w:rPr>
                <w:rFonts w:hint="eastAsia" w:ascii="宋体" w:hAnsi="宋体"/>
              </w:rPr>
              <w:t>84980</w:t>
            </w:r>
            <w:r>
              <w:rPr>
                <w:rFonts w:ascii="宋体" w:hAnsi="宋体"/>
              </w:rPr>
              <w:t>.00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19E4BD78">
            <w:pPr>
              <w:pStyle w:val="15"/>
              <w:widowControl/>
              <w:jc w:val="center"/>
              <w:rPr>
                <w:rFonts w:ascii="宋体" w:hAnsi="宋体"/>
              </w:rPr>
            </w:pPr>
            <w:r>
              <w:rPr>
                <w:rFonts w:hint="eastAsia" w:ascii="宋体" w:hAnsi="宋体"/>
              </w:rPr>
              <w:t>详见询价文件第三部分要求</w:t>
            </w:r>
          </w:p>
        </w:tc>
      </w:tr>
    </w:tbl>
    <w:p w14:paraId="6678AAE6">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2B0EF3CD">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46DED301">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4C1F3BAA">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012FCCAC">
      <w:pPr>
        <w:spacing w:line="360" w:lineRule="auto"/>
        <w:ind w:firstLine="480" w:firstLineChars="200"/>
        <w:rPr>
          <w:rFonts w:ascii="宋体" w:hAnsi="宋体"/>
          <w:sz w:val="24"/>
        </w:rPr>
      </w:pPr>
      <w:r>
        <w:rPr>
          <w:rFonts w:hint="eastAsia" w:ascii="宋体" w:hAnsi="宋体"/>
          <w:sz w:val="24"/>
        </w:rPr>
        <w:t>三、提交报价响应文件截止时间</w:t>
      </w:r>
      <w:r>
        <w:rPr>
          <w:rFonts w:hint="eastAsia" w:ascii="宋体" w:hAnsi="宋体"/>
          <w:sz w:val="24"/>
          <w:u w:val="single"/>
        </w:rPr>
        <w:t xml:space="preserve"> 2022 </w:t>
      </w:r>
      <w:r>
        <w:rPr>
          <w:rFonts w:hint="eastAsia" w:ascii="宋体" w:hAnsi="宋体"/>
          <w:sz w:val="24"/>
        </w:rPr>
        <w:t>年</w:t>
      </w:r>
      <w:r>
        <w:rPr>
          <w:rFonts w:hint="eastAsia" w:ascii="宋体" w:hAnsi="宋体"/>
          <w:sz w:val="24"/>
          <w:u w:val="single"/>
        </w:rPr>
        <w:t xml:space="preserve"> 12 </w:t>
      </w:r>
      <w:r>
        <w:rPr>
          <w:rFonts w:hint="eastAsia" w:ascii="宋体" w:hAnsi="宋体"/>
          <w:sz w:val="24"/>
        </w:rPr>
        <w:t>月</w:t>
      </w:r>
      <w:r>
        <w:rPr>
          <w:rFonts w:hint="eastAsia" w:ascii="宋体" w:hAnsi="宋体"/>
          <w:sz w:val="24"/>
          <w:u w:val="single"/>
        </w:rPr>
        <w:t xml:space="preserve">  15  </w:t>
      </w:r>
      <w:r>
        <w:rPr>
          <w:rFonts w:hint="eastAsia" w:ascii="宋体" w:hAnsi="宋体"/>
          <w:sz w:val="24"/>
        </w:rPr>
        <w:t>日</w:t>
      </w:r>
      <w:r>
        <w:rPr>
          <w:rFonts w:hint="eastAsia" w:ascii="宋体" w:hAnsi="宋体"/>
          <w:sz w:val="24"/>
          <w:u w:val="single"/>
        </w:rPr>
        <w:t xml:space="preserve">  10 </w:t>
      </w:r>
      <w:r>
        <w:rPr>
          <w:rFonts w:hint="eastAsia" w:ascii="宋体" w:hAnsi="宋体"/>
          <w:sz w:val="24"/>
        </w:rPr>
        <w:t>时</w:t>
      </w:r>
      <w:r>
        <w:rPr>
          <w:rFonts w:ascii="宋体" w:hAnsi="宋体"/>
          <w:sz w:val="24"/>
        </w:rPr>
        <w:t>(</w:t>
      </w:r>
      <w:r>
        <w:rPr>
          <w:rFonts w:hint="eastAsia" w:ascii="宋体" w:hAnsi="宋体"/>
          <w:sz w:val="24"/>
        </w:rPr>
        <w:t>北京时间</w:t>
      </w:r>
      <w:r>
        <w:rPr>
          <w:rFonts w:ascii="宋体" w:hAnsi="宋体"/>
          <w:sz w:val="24"/>
        </w:rPr>
        <w:t>)</w:t>
      </w:r>
      <w:r>
        <w:rPr>
          <w:rFonts w:hint="eastAsia" w:ascii="宋体" w:hAnsi="宋体"/>
          <w:sz w:val="24"/>
        </w:rPr>
        <w:t>。（从询价公告发布之日起至供应商提交响应文件截止之日止不得少于3个工作日）。</w:t>
      </w:r>
    </w:p>
    <w:p w14:paraId="5CBCA5EE">
      <w:pPr>
        <w:spacing w:line="360" w:lineRule="auto"/>
        <w:ind w:firstLine="480" w:firstLineChars="200"/>
        <w:rPr>
          <w:rFonts w:ascii="宋体" w:hAnsi="宋体"/>
          <w:sz w:val="24"/>
        </w:rPr>
      </w:pPr>
      <w:r>
        <w:rPr>
          <w:rFonts w:hint="eastAsia" w:ascii="宋体" w:hAnsi="宋体"/>
          <w:sz w:val="24"/>
        </w:rPr>
        <w:t>四、询价时间：</w:t>
      </w:r>
      <w:r>
        <w:rPr>
          <w:rFonts w:hint="eastAsia" w:ascii="宋体" w:hAnsi="宋体"/>
          <w:sz w:val="24"/>
          <w:u w:val="single"/>
        </w:rPr>
        <w:t xml:space="preserve">  2022年 12 月 15 日 10时(</w:t>
      </w:r>
      <w:r>
        <w:rPr>
          <w:rFonts w:hint="eastAsia" w:ascii="宋体" w:hAnsi="宋体"/>
          <w:sz w:val="24"/>
        </w:rPr>
        <w:t>北京时间)。</w:t>
      </w:r>
    </w:p>
    <w:p w14:paraId="015898A7">
      <w:pPr>
        <w:widowControl/>
        <w:spacing w:line="400" w:lineRule="exact"/>
        <w:ind w:firstLine="480" w:firstLineChars="200"/>
        <w:rPr>
          <w:rFonts w:ascii="宋体" w:hAnsi="宋体"/>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泉州师范学院图书馆四楼办公室。</w:t>
      </w:r>
    </w:p>
    <w:p w14:paraId="3C491848">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sz w:val="24"/>
          <w:u w:val="single"/>
        </w:rPr>
        <w:t xml:space="preserve"> 陈老师 </w:t>
      </w:r>
      <w:r>
        <w:rPr>
          <w:rFonts w:hint="eastAsia" w:ascii="宋体" w:hAnsi="宋体"/>
          <w:sz w:val="24"/>
        </w:rPr>
        <w:t>，联系电话：</w:t>
      </w:r>
      <w:r>
        <w:rPr>
          <w:rFonts w:hint="eastAsia" w:ascii="宋体" w:hAnsi="宋体" w:cs="宋体"/>
          <w:sz w:val="24"/>
          <w:u w:val="single"/>
        </w:rPr>
        <w:t xml:space="preserve"> </w:t>
      </w:r>
      <w:r>
        <w:rPr>
          <w:rFonts w:hint="eastAsia" w:ascii="宋体" w:hAnsi="宋体" w:cs="宋体"/>
          <w:sz w:val="24"/>
          <w:u w:val="single"/>
          <w:lang w:val="en-US" w:eastAsia="zh-CN"/>
        </w:rPr>
        <w:t>0595-22919859</w:t>
      </w:r>
      <w:bookmarkStart w:id="102" w:name="_GoBack"/>
      <w:bookmarkEnd w:id="102"/>
      <w:r>
        <w:rPr>
          <w:rFonts w:hint="eastAsia" w:ascii="宋体" w:hAnsi="宋体" w:cs="宋体"/>
          <w:sz w:val="24"/>
          <w:u w:val="single"/>
        </w:rPr>
        <w:t xml:space="preserve"> </w:t>
      </w:r>
      <w:r>
        <w:rPr>
          <w:rFonts w:hint="eastAsia" w:ascii="宋体" w:hAnsi="宋体" w:cs="宋体"/>
          <w:sz w:val="24"/>
          <w:lang w:val="zh-CN"/>
        </w:rPr>
        <w:t>。</w:t>
      </w:r>
    </w:p>
    <w:p w14:paraId="1DD9B41B">
      <w:pPr>
        <w:pStyle w:val="18"/>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36B28843">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14:paraId="18BDFB5B">
      <w:pPr>
        <w:spacing w:beforeLines="50" w:afterLines="50" w:line="440" w:lineRule="exact"/>
        <w:jc w:val="center"/>
        <w:outlineLvl w:val="0"/>
        <w:rPr>
          <w:rFonts w:ascii="宋体" w:hAnsi="宋体"/>
          <w:b/>
          <w:sz w:val="36"/>
          <w:szCs w:val="36"/>
        </w:rPr>
      </w:pPr>
      <w:r>
        <w:rPr>
          <w:rFonts w:hint="eastAsia" w:ascii="宋体" w:hAnsi="宋体"/>
          <w:b/>
          <w:sz w:val="36"/>
          <w:szCs w:val="36"/>
        </w:rPr>
        <w:br w:type="page"/>
      </w:r>
      <w:bookmarkStart w:id="45" w:name="_Toc7302"/>
      <w:bookmarkStart w:id="46" w:name="_Toc4126"/>
      <w:r>
        <w:rPr>
          <w:rFonts w:hint="eastAsia" w:ascii="宋体" w:hAnsi="宋体"/>
          <w:b/>
          <w:sz w:val="36"/>
          <w:szCs w:val="36"/>
        </w:rPr>
        <w:t>第二部分  报价供应商须知</w:t>
      </w:r>
      <w:bookmarkEnd w:id="45"/>
      <w:bookmarkEnd w:id="46"/>
    </w:p>
    <w:p w14:paraId="2B62555E">
      <w:pPr>
        <w:pStyle w:val="16"/>
        <w:rPr>
          <w:i w:val="0"/>
          <w:iCs w:val="0"/>
        </w:rPr>
      </w:pPr>
      <w:r>
        <w:rPr>
          <w:rFonts w:hint="eastAsia" w:ascii="宋体" w:hAnsi="宋体"/>
          <w:b/>
          <w:i w:val="0"/>
          <w:iCs w:val="0"/>
          <w:sz w:val="24"/>
        </w:rPr>
        <w:t>报价供应商须知前附表是对报价供应商须知的补充，二者如有矛盾，以前附表为准。</w:t>
      </w:r>
    </w:p>
    <w:tbl>
      <w:tblPr>
        <w:tblStyle w:val="2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4439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Align w:val="center"/>
          </w:tcPr>
          <w:p w14:paraId="4BF93A45">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4AE2DFD0">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0142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40536958">
            <w:pPr>
              <w:spacing w:line="440" w:lineRule="exact"/>
              <w:jc w:val="center"/>
              <w:rPr>
                <w:rFonts w:ascii="宋体" w:hAnsi="宋体"/>
                <w:b/>
                <w:sz w:val="24"/>
              </w:rPr>
            </w:pPr>
            <w:r>
              <w:rPr>
                <w:rFonts w:hint="eastAsia" w:ascii="宋体" w:hAnsi="宋体"/>
                <w:b/>
                <w:sz w:val="24"/>
              </w:rPr>
              <w:t>1</w:t>
            </w:r>
          </w:p>
        </w:tc>
        <w:tc>
          <w:tcPr>
            <w:tcW w:w="8951" w:type="dxa"/>
            <w:vAlign w:val="center"/>
          </w:tcPr>
          <w:p w14:paraId="2DDA4CA3">
            <w:pPr>
              <w:pStyle w:val="18"/>
              <w:spacing w:after="0" w:line="440" w:lineRule="exact"/>
              <w:ind w:firstLine="0" w:firstLineChars="0"/>
              <w:rPr>
                <w:rFonts w:ascii="宋体" w:hAnsi="宋体"/>
                <w:sz w:val="24"/>
              </w:rPr>
            </w:pPr>
            <w:r>
              <w:rPr>
                <w:rFonts w:hint="eastAsia" w:ascii="宋体" w:hAnsi="宋体"/>
                <w:sz w:val="24"/>
              </w:rPr>
              <w:t>泉州师范学院图书馆</w:t>
            </w:r>
          </w:p>
          <w:p w14:paraId="7AAC579D">
            <w:pPr>
              <w:pStyle w:val="18"/>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6E11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5F341309">
            <w:pPr>
              <w:spacing w:line="440" w:lineRule="exact"/>
              <w:jc w:val="center"/>
              <w:rPr>
                <w:rFonts w:ascii="宋体" w:hAnsi="宋体"/>
                <w:b/>
                <w:sz w:val="24"/>
              </w:rPr>
            </w:pPr>
            <w:r>
              <w:rPr>
                <w:rFonts w:hint="eastAsia" w:ascii="宋体" w:hAnsi="宋体"/>
                <w:b/>
                <w:sz w:val="24"/>
              </w:rPr>
              <w:t>2</w:t>
            </w:r>
          </w:p>
        </w:tc>
        <w:tc>
          <w:tcPr>
            <w:tcW w:w="8951" w:type="dxa"/>
            <w:vAlign w:val="center"/>
          </w:tcPr>
          <w:p w14:paraId="2BE2A4C5">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723E83A2">
            <w:pPr>
              <w:pStyle w:val="18"/>
              <w:spacing w:after="0" w:line="360" w:lineRule="auto"/>
              <w:ind w:firstLine="0" w:firstLineChars="0"/>
              <w:rPr>
                <w:rFonts w:ascii="宋体" w:hAnsi="宋体"/>
                <w:sz w:val="24"/>
              </w:rPr>
            </w:pPr>
            <w:r>
              <w:rPr>
                <w:rFonts w:hint="eastAsia" w:ascii="宋体" w:hAnsi="宋体"/>
                <w:sz w:val="24"/>
              </w:rPr>
              <w:t>1、合格有效的营业执照副本复印件；</w:t>
            </w:r>
          </w:p>
          <w:p w14:paraId="62EB3390">
            <w:pPr>
              <w:pStyle w:val="18"/>
              <w:spacing w:after="0" w:line="360" w:lineRule="auto"/>
              <w:ind w:firstLine="0" w:firstLineChars="0"/>
              <w:rPr>
                <w:rFonts w:ascii="宋体" w:hAnsi="宋体"/>
                <w:sz w:val="24"/>
              </w:rPr>
            </w:pPr>
            <w:r>
              <w:rPr>
                <w:rFonts w:hint="eastAsia" w:ascii="宋体" w:hAnsi="宋体"/>
                <w:sz w:val="24"/>
              </w:rPr>
              <w:t>2、法定代表人对谈判代表的授权委托书（原件）；</w:t>
            </w:r>
          </w:p>
          <w:p w14:paraId="6F15D1DE">
            <w:pPr>
              <w:pStyle w:val="18"/>
              <w:spacing w:after="0" w:line="360" w:lineRule="auto"/>
              <w:ind w:firstLine="0" w:firstLineChars="0"/>
              <w:rPr>
                <w:rFonts w:ascii="宋体" w:hAnsi="宋体"/>
                <w:sz w:val="24"/>
              </w:rPr>
            </w:pPr>
            <w:r>
              <w:rPr>
                <w:rFonts w:hint="eastAsia" w:ascii="宋体" w:hAnsi="宋体"/>
                <w:sz w:val="24"/>
              </w:rPr>
              <w:t>3、法定代表人身份证正反面有效复印件；</w:t>
            </w:r>
          </w:p>
          <w:p w14:paraId="4B8E203E">
            <w:pPr>
              <w:pStyle w:val="18"/>
              <w:spacing w:after="0" w:line="360" w:lineRule="auto"/>
              <w:ind w:firstLine="0" w:firstLineChars="0"/>
              <w:rPr>
                <w:rFonts w:ascii="宋体" w:hAnsi="宋体"/>
                <w:sz w:val="24"/>
              </w:rPr>
            </w:pPr>
            <w:r>
              <w:rPr>
                <w:rFonts w:hint="eastAsia" w:ascii="宋体" w:hAnsi="宋体"/>
                <w:sz w:val="24"/>
              </w:rPr>
              <w:t>4、谈判代表身份证正反面有效复印件；</w:t>
            </w:r>
          </w:p>
          <w:p w14:paraId="7D9AB171">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5B3CD875">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2A95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42F9EFE">
            <w:pPr>
              <w:spacing w:line="440" w:lineRule="exact"/>
              <w:jc w:val="center"/>
              <w:rPr>
                <w:rFonts w:ascii="宋体" w:hAnsi="宋体"/>
                <w:b/>
                <w:sz w:val="24"/>
              </w:rPr>
            </w:pPr>
            <w:r>
              <w:rPr>
                <w:rFonts w:hint="eastAsia" w:ascii="宋体" w:hAnsi="宋体"/>
                <w:b/>
                <w:sz w:val="24"/>
              </w:rPr>
              <w:t>3</w:t>
            </w:r>
          </w:p>
        </w:tc>
        <w:tc>
          <w:tcPr>
            <w:tcW w:w="8951" w:type="dxa"/>
            <w:vAlign w:val="center"/>
          </w:tcPr>
          <w:p w14:paraId="7172F996">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676B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B844F84">
            <w:pPr>
              <w:spacing w:line="440" w:lineRule="exact"/>
              <w:jc w:val="center"/>
              <w:rPr>
                <w:rFonts w:ascii="宋体" w:hAnsi="宋体"/>
                <w:b/>
                <w:sz w:val="24"/>
              </w:rPr>
            </w:pPr>
            <w:r>
              <w:rPr>
                <w:rFonts w:hint="eastAsia" w:ascii="宋体" w:hAnsi="宋体"/>
                <w:b/>
                <w:sz w:val="24"/>
              </w:rPr>
              <w:t>4</w:t>
            </w:r>
          </w:p>
        </w:tc>
        <w:tc>
          <w:tcPr>
            <w:tcW w:w="8951" w:type="dxa"/>
            <w:vAlign w:val="center"/>
          </w:tcPr>
          <w:p w14:paraId="7D4EA578">
            <w:pPr>
              <w:spacing w:line="440" w:lineRule="exact"/>
              <w:rPr>
                <w:rFonts w:ascii="宋体" w:hAnsi="宋体"/>
                <w:sz w:val="24"/>
              </w:rPr>
            </w:pPr>
            <w:r>
              <w:rPr>
                <w:rFonts w:hint="eastAsia" w:ascii="宋体" w:hAnsi="宋体"/>
                <w:b/>
                <w:bCs/>
                <w:sz w:val="24"/>
              </w:rPr>
              <w:t>履约保证金：收取中标价的3%履约保证金。</w:t>
            </w:r>
          </w:p>
        </w:tc>
      </w:tr>
      <w:tr w14:paraId="54BF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E61A5BE">
            <w:pPr>
              <w:spacing w:line="440" w:lineRule="exact"/>
              <w:jc w:val="center"/>
              <w:rPr>
                <w:rFonts w:ascii="宋体" w:hAnsi="宋体"/>
                <w:b/>
                <w:sz w:val="24"/>
              </w:rPr>
            </w:pPr>
            <w:r>
              <w:rPr>
                <w:rFonts w:hint="eastAsia" w:ascii="宋体" w:hAnsi="宋体"/>
                <w:b/>
                <w:sz w:val="24"/>
              </w:rPr>
              <w:t>5</w:t>
            </w:r>
          </w:p>
        </w:tc>
        <w:tc>
          <w:tcPr>
            <w:tcW w:w="8951" w:type="dxa"/>
            <w:vAlign w:val="center"/>
          </w:tcPr>
          <w:p w14:paraId="568DE696">
            <w:pPr>
              <w:spacing w:line="440" w:lineRule="exact"/>
              <w:rPr>
                <w:rFonts w:ascii="宋体" w:hAnsi="宋体"/>
                <w:sz w:val="24"/>
              </w:rPr>
            </w:pPr>
            <w:r>
              <w:rPr>
                <w:rFonts w:hint="eastAsia" w:ascii="宋体" w:hAnsi="宋体"/>
                <w:sz w:val="24"/>
              </w:rPr>
              <w:t>报价有效期：报价文件自评审之日起，报价有效期为90天。</w:t>
            </w:r>
          </w:p>
        </w:tc>
      </w:tr>
      <w:tr w14:paraId="64F5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C24AB55">
            <w:pPr>
              <w:spacing w:line="440" w:lineRule="exact"/>
              <w:jc w:val="center"/>
              <w:rPr>
                <w:rFonts w:ascii="宋体" w:hAnsi="宋体"/>
                <w:b/>
                <w:sz w:val="24"/>
              </w:rPr>
            </w:pPr>
            <w:r>
              <w:rPr>
                <w:rFonts w:hint="eastAsia" w:ascii="宋体" w:hAnsi="宋体"/>
                <w:b/>
                <w:sz w:val="24"/>
              </w:rPr>
              <w:t>6</w:t>
            </w:r>
          </w:p>
        </w:tc>
        <w:tc>
          <w:tcPr>
            <w:tcW w:w="8951" w:type="dxa"/>
            <w:vAlign w:val="center"/>
          </w:tcPr>
          <w:p w14:paraId="003D1410">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1975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A8E45D8">
            <w:pPr>
              <w:spacing w:line="440" w:lineRule="exact"/>
              <w:jc w:val="center"/>
              <w:rPr>
                <w:rFonts w:ascii="宋体" w:hAnsi="宋体"/>
                <w:b/>
                <w:sz w:val="24"/>
              </w:rPr>
            </w:pPr>
            <w:r>
              <w:rPr>
                <w:rFonts w:hint="eastAsia" w:ascii="宋体" w:hAnsi="宋体"/>
                <w:b/>
                <w:sz w:val="24"/>
              </w:rPr>
              <w:t>7</w:t>
            </w:r>
          </w:p>
        </w:tc>
        <w:tc>
          <w:tcPr>
            <w:tcW w:w="8951" w:type="dxa"/>
            <w:vAlign w:val="center"/>
          </w:tcPr>
          <w:p w14:paraId="51A518DB">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14C1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3CEE1CBC">
            <w:pPr>
              <w:spacing w:line="440" w:lineRule="exact"/>
              <w:jc w:val="center"/>
              <w:rPr>
                <w:rFonts w:ascii="宋体" w:hAnsi="宋体"/>
                <w:b/>
                <w:sz w:val="24"/>
              </w:rPr>
            </w:pPr>
            <w:r>
              <w:rPr>
                <w:rFonts w:hint="eastAsia" w:ascii="宋体" w:hAnsi="宋体"/>
                <w:b/>
                <w:sz w:val="24"/>
              </w:rPr>
              <w:t>8</w:t>
            </w:r>
          </w:p>
        </w:tc>
        <w:tc>
          <w:tcPr>
            <w:tcW w:w="8951" w:type="dxa"/>
            <w:vAlign w:val="center"/>
          </w:tcPr>
          <w:p w14:paraId="14F850EC">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6BAB2006">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0B2B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6504567">
            <w:pPr>
              <w:spacing w:line="440" w:lineRule="exact"/>
              <w:jc w:val="center"/>
              <w:rPr>
                <w:rFonts w:ascii="宋体" w:hAnsi="宋体"/>
                <w:b/>
                <w:sz w:val="24"/>
              </w:rPr>
            </w:pPr>
            <w:r>
              <w:rPr>
                <w:rFonts w:hint="eastAsia" w:ascii="宋体" w:hAnsi="宋体"/>
                <w:b/>
                <w:sz w:val="24"/>
              </w:rPr>
              <w:t>9</w:t>
            </w:r>
          </w:p>
        </w:tc>
        <w:tc>
          <w:tcPr>
            <w:tcW w:w="8951" w:type="dxa"/>
            <w:vAlign w:val="center"/>
          </w:tcPr>
          <w:p w14:paraId="7139B663">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671B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2A8DB34">
            <w:pPr>
              <w:spacing w:line="440" w:lineRule="exact"/>
              <w:jc w:val="center"/>
              <w:rPr>
                <w:rFonts w:ascii="宋体" w:hAnsi="宋体"/>
                <w:b/>
                <w:sz w:val="24"/>
              </w:rPr>
            </w:pPr>
            <w:r>
              <w:rPr>
                <w:rFonts w:hint="eastAsia" w:ascii="宋体" w:hAnsi="宋体"/>
                <w:b/>
                <w:sz w:val="24"/>
              </w:rPr>
              <w:t>10</w:t>
            </w:r>
          </w:p>
        </w:tc>
        <w:tc>
          <w:tcPr>
            <w:tcW w:w="8951" w:type="dxa"/>
            <w:vAlign w:val="center"/>
          </w:tcPr>
          <w:p w14:paraId="0252ABC2">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7929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5797618">
            <w:pPr>
              <w:spacing w:line="440" w:lineRule="exact"/>
              <w:jc w:val="center"/>
              <w:rPr>
                <w:rFonts w:ascii="宋体" w:hAnsi="宋体"/>
                <w:b/>
                <w:sz w:val="24"/>
              </w:rPr>
            </w:pPr>
            <w:r>
              <w:rPr>
                <w:rFonts w:hint="eastAsia" w:ascii="宋体" w:hAnsi="宋体"/>
                <w:b/>
                <w:sz w:val="24"/>
              </w:rPr>
              <w:t>11</w:t>
            </w:r>
          </w:p>
        </w:tc>
        <w:tc>
          <w:tcPr>
            <w:tcW w:w="8951" w:type="dxa"/>
            <w:vAlign w:val="center"/>
          </w:tcPr>
          <w:p w14:paraId="465E0D34">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5E16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D2D1D97">
            <w:pPr>
              <w:spacing w:line="440" w:lineRule="exact"/>
              <w:jc w:val="center"/>
              <w:rPr>
                <w:rFonts w:ascii="宋体" w:hAnsi="宋体"/>
                <w:b/>
                <w:sz w:val="24"/>
              </w:rPr>
            </w:pPr>
            <w:r>
              <w:rPr>
                <w:rFonts w:hint="eastAsia" w:ascii="宋体" w:hAnsi="宋体"/>
                <w:b/>
                <w:sz w:val="24"/>
              </w:rPr>
              <w:t>12</w:t>
            </w:r>
          </w:p>
        </w:tc>
        <w:tc>
          <w:tcPr>
            <w:tcW w:w="8951" w:type="dxa"/>
            <w:vAlign w:val="center"/>
          </w:tcPr>
          <w:p w14:paraId="5AAA6B24">
            <w:pPr>
              <w:spacing w:line="440" w:lineRule="exact"/>
              <w:rPr>
                <w:rFonts w:ascii="宋体" w:hAnsi="宋体"/>
                <w:b/>
                <w:sz w:val="24"/>
              </w:rPr>
            </w:pPr>
            <w:r>
              <w:rPr>
                <w:rFonts w:hint="eastAsia" w:ascii="宋体" w:hAnsi="宋体"/>
                <w:b/>
                <w:bCs/>
                <w:sz w:val="24"/>
              </w:rPr>
              <w:t>出现下列情形之一的，本次询价采购应予废标：</w:t>
            </w:r>
          </w:p>
          <w:p w14:paraId="7CA5B565">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76AAA5BD">
            <w:pPr>
              <w:spacing w:line="440" w:lineRule="exact"/>
              <w:rPr>
                <w:rFonts w:ascii="宋体" w:hAnsi="宋体"/>
                <w:sz w:val="24"/>
              </w:rPr>
            </w:pPr>
            <w:r>
              <w:rPr>
                <w:rFonts w:hint="eastAsia" w:ascii="宋体" w:hAnsi="宋体"/>
                <w:bCs/>
                <w:sz w:val="24"/>
              </w:rPr>
              <w:t>2.出现影响采购公正的违法、违规行为的；</w:t>
            </w:r>
          </w:p>
          <w:p w14:paraId="2E1CCE69">
            <w:pPr>
              <w:spacing w:line="440" w:lineRule="exact"/>
              <w:rPr>
                <w:rFonts w:ascii="宋体" w:hAnsi="宋体"/>
                <w:sz w:val="24"/>
              </w:rPr>
            </w:pPr>
            <w:r>
              <w:rPr>
                <w:rFonts w:hint="eastAsia" w:ascii="宋体" w:hAnsi="宋体"/>
                <w:bCs/>
                <w:sz w:val="24"/>
              </w:rPr>
              <w:t>3.报价供应商的报价均超过了采购预算，采购人不能支付的；</w:t>
            </w:r>
          </w:p>
          <w:p w14:paraId="2835F068">
            <w:pPr>
              <w:spacing w:line="440" w:lineRule="exact"/>
              <w:rPr>
                <w:rFonts w:ascii="宋体" w:hAnsi="宋体"/>
                <w:bCs/>
                <w:sz w:val="24"/>
              </w:rPr>
            </w:pPr>
            <w:r>
              <w:rPr>
                <w:rFonts w:hint="eastAsia" w:ascii="宋体" w:hAnsi="宋体"/>
                <w:bCs/>
                <w:sz w:val="24"/>
              </w:rPr>
              <w:t>4.因重大变故，采购任务取消的。</w:t>
            </w:r>
          </w:p>
        </w:tc>
      </w:tr>
      <w:tr w14:paraId="2ED3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E24D3C2">
            <w:pPr>
              <w:spacing w:line="440" w:lineRule="exact"/>
              <w:jc w:val="center"/>
              <w:rPr>
                <w:b/>
                <w:sz w:val="24"/>
              </w:rPr>
            </w:pPr>
            <w:r>
              <w:rPr>
                <w:rFonts w:hint="eastAsia"/>
                <w:b/>
                <w:sz w:val="24"/>
              </w:rPr>
              <w:t>13</w:t>
            </w:r>
          </w:p>
        </w:tc>
        <w:tc>
          <w:tcPr>
            <w:tcW w:w="8951" w:type="dxa"/>
            <w:vAlign w:val="center"/>
          </w:tcPr>
          <w:p w14:paraId="7E80830F">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231C9B15">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6DC01925">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6F840EBF">
            <w:pPr>
              <w:spacing w:line="440" w:lineRule="exact"/>
              <w:rPr>
                <w:rFonts w:ascii="宋体" w:hAnsi="宋体"/>
                <w:bCs/>
                <w:sz w:val="24"/>
              </w:rPr>
            </w:pPr>
            <w:r>
              <w:rPr>
                <w:rFonts w:hint="eastAsia" w:ascii="宋体" w:hAnsi="宋体"/>
                <w:bCs/>
                <w:sz w:val="24"/>
              </w:rPr>
              <w:t>3.报价超过最高限价的；</w:t>
            </w:r>
          </w:p>
          <w:p w14:paraId="558B8BEA">
            <w:pPr>
              <w:spacing w:line="440" w:lineRule="exact"/>
              <w:rPr>
                <w:rFonts w:ascii="宋体" w:hAnsi="宋体"/>
                <w:bCs/>
                <w:sz w:val="24"/>
              </w:rPr>
            </w:pPr>
            <w:r>
              <w:rPr>
                <w:rFonts w:hint="eastAsia" w:ascii="宋体" w:hAnsi="宋体"/>
                <w:bCs/>
                <w:sz w:val="24"/>
              </w:rPr>
              <w:t>4.提交的是可选择性报价的；</w:t>
            </w:r>
          </w:p>
          <w:p w14:paraId="4DCBA890">
            <w:pPr>
              <w:spacing w:line="440" w:lineRule="exact"/>
              <w:rPr>
                <w:rFonts w:ascii="宋体" w:hAnsi="宋体"/>
                <w:bCs/>
                <w:sz w:val="24"/>
              </w:rPr>
            </w:pPr>
            <w:r>
              <w:rPr>
                <w:rFonts w:hint="eastAsia" w:ascii="宋体" w:hAnsi="宋体"/>
                <w:bCs/>
                <w:sz w:val="24"/>
              </w:rPr>
              <w:t>5.报价内容与询价内容及技术要求有不满足的；</w:t>
            </w:r>
          </w:p>
          <w:p w14:paraId="6433540B">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51255DB9">
            <w:pPr>
              <w:spacing w:line="440" w:lineRule="exact"/>
              <w:rPr>
                <w:rFonts w:ascii="宋体" w:hAnsi="宋体"/>
                <w:bCs/>
                <w:sz w:val="24"/>
              </w:rPr>
            </w:pPr>
            <w:r>
              <w:rPr>
                <w:rFonts w:hint="eastAsia" w:ascii="宋体" w:hAnsi="宋体"/>
                <w:bCs/>
                <w:sz w:val="24"/>
              </w:rPr>
              <w:t>7.报价有严重缺漏项目的；</w:t>
            </w:r>
          </w:p>
          <w:p w14:paraId="0FDE09B8">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45B99316">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0B537F3E">
      <w:pPr>
        <w:pStyle w:val="3"/>
        <w:spacing w:before="120" w:after="120" w:line="440" w:lineRule="exact"/>
        <w:rPr>
          <w:rFonts w:ascii="宋体" w:hAnsi="宋体" w:eastAsia="宋体"/>
          <w:sz w:val="36"/>
          <w:szCs w:val="36"/>
        </w:rPr>
        <w:sectPr>
          <w:footerReference r:id="rId10" w:type="first"/>
          <w:footerReference r:id="rId9" w:type="default"/>
          <w:pgSz w:w="11906" w:h="16838"/>
          <w:pgMar w:top="1134" w:right="1134" w:bottom="851" w:left="1247" w:header="567" w:footer="567" w:gutter="0"/>
          <w:cols w:space="720" w:num="1"/>
          <w:docGrid w:type="lines" w:linePitch="312" w:charSpace="0"/>
        </w:sectPr>
      </w:pPr>
      <w:bookmarkStart w:id="47" w:name="_Toc5918"/>
      <w:bookmarkStart w:id="48" w:name="_Toc4338"/>
      <w:bookmarkStart w:id="49" w:name="_Toc12454"/>
    </w:p>
    <w:p w14:paraId="4EC0A732">
      <w:pPr>
        <w:pStyle w:val="3"/>
        <w:spacing w:before="120" w:after="120" w:line="440" w:lineRule="exact"/>
        <w:jc w:val="center"/>
        <w:rPr>
          <w:rFonts w:ascii="宋体" w:hAnsi="宋体" w:eastAsia="宋体"/>
          <w:sz w:val="24"/>
          <w:szCs w:val="24"/>
        </w:rPr>
      </w:pPr>
      <w:r>
        <w:rPr>
          <w:rFonts w:hint="eastAsia" w:ascii="宋体" w:hAnsi="宋体" w:eastAsia="宋体"/>
          <w:sz w:val="36"/>
          <w:szCs w:val="36"/>
        </w:rPr>
        <w:t>第三部分    询价内容及要求</w:t>
      </w:r>
    </w:p>
    <w:p w14:paraId="2D717F27">
      <w:pPr>
        <w:spacing w:line="440" w:lineRule="exact"/>
        <w:rPr>
          <w:rFonts w:ascii="宋体" w:hAnsi="宋体"/>
          <w:b/>
          <w:kern w:val="0"/>
          <w:sz w:val="24"/>
        </w:rPr>
      </w:pPr>
      <w:r>
        <w:rPr>
          <w:rFonts w:hint="eastAsia" w:ascii="宋体" w:hAnsi="宋体"/>
          <w:b/>
          <w:kern w:val="0"/>
          <w:sz w:val="24"/>
        </w:rPr>
        <w:t>一、基本技术参数及要求</w:t>
      </w:r>
    </w:p>
    <w:tbl>
      <w:tblPr>
        <w:tblStyle w:val="20"/>
        <w:tblW w:w="19885" w:type="dxa"/>
        <w:jc w:val="center"/>
        <w:tblLayout w:type="fixed"/>
        <w:tblCellMar>
          <w:top w:w="0" w:type="dxa"/>
          <w:left w:w="108" w:type="dxa"/>
          <w:bottom w:w="0" w:type="dxa"/>
          <w:right w:w="108" w:type="dxa"/>
        </w:tblCellMar>
      </w:tblPr>
      <w:tblGrid>
        <w:gridCol w:w="848"/>
        <w:gridCol w:w="915"/>
        <w:gridCol w:w="1608"/>
        <w:gridCol w:w="5783"/>
        <w:gridCol w:w="800"/>
        <w:gridCol w:w="750"/>
        <w:gridCol w:w="1057"/>
        <w:gridCol w:w="1227"/>
        <w:gridCol w:w="6897"/>
      </w:tblGrid>
      <w:tr w14:paraId="32ECB9E8">
        <w:tblPrEx>
          <w:tblCellMar>
            <w:top w:w="0" w:type="dxa"/>
            <w:left w:w="108" w:type="dxa"/>
            <w:bottom w:w="0" w:type="dxa"/>
            <w:right w:w="108" w:type="dxa"/>
          </w:tblCellMar>
        </w:tblPrEx>
        <w:trPr>
          <w:jc w:val="center"/>
        </w:trPr>
        <w:tc>
          <w:tcPr>
            <w:tcW w:w="19885" w:type="dxa"/>
            <w:gridSpan w:val="9"/>
            <w:tcBorders>
              <w:top w:val="nil"/>
              <w:left w:val="nil"/>
              <w:bottom w:val="single" w:color="000000" w:sz="4" w:space="0"/>
              <w:right w:val="single" w:color="000000" w:sz="4" w:space="0"/>
            </w:tcBorders>
          </w:tcPr>
          <w:p w14:paraId="6388C98F">
            <w:pPr>
              <w:rPr>
                <w:rFonts w:ascii="方正小标宋简体" w:hAnsi="黑体" w:eastAsia="方正小标宋简体"/>
                <w:b/>
                <w:bCs/>
                <w:sz w:val="36"/>
                <w:szCs w:val="36"/>
              </w:rPr>
            </w:pPr>
          </w:p>
        </w:tc>
      </w:tr>
      <w:tr w14:paraId="3410AD95">
        <w:tblPrEx>
          <w:tblCellMar>
            <w:top w:w="0" w:type="dxa"/>
            <w:left w:w="108" w:type="dxa"/>
            <w:bottom w:w="0" w:type="dxa"/>
            <w:right w:w="108" w:type="dxa"/>
          </w:tblCellMar>
        </w:tblPrEx>
        <w:trPr>
          <w:trHeight w:val="674" w:hRule="atLeast"/>
          <w:jc w:val="center"/>
        </w:trPr>
        <w:tc>
          <w:tcPr>
            <w:tcW w:w="19885" w:type="dxa"/>
            <w:gridSpan w:val="9"/>
            <w:tcBorders>
              <w:top w:val="single" w:color="000000" w:sz="4" w:space="0"/>
              <w:left w:val="single" w:color="000000" w:sz="4" w:space="0"/>
              <w:bottom w:val="single" w:color="000000" w:sz="4" w:space="0"/>
              <w:right w:val="single" w:color="000000" w:sz="4" w:space="0"/>
            </w:tcBorders>
          </w:tcPr>
          <w:p w14:paraId="3EE0C3AB">
            <w:pPr>
              <w:rPr>
                <w:rFonts w:ascii="黑体" w:hAnsi="黑体" w:eastAsia="黑体"/>
                <w:sz w:val="24"/>
              </w:rPr>
            </w:pPr>
          </w:p>
          <w:p w14:paraId="77925027">
            <w:pPr>
              <w:rPr>
                <w:rFonts w:ascii="黑体" w:hAnsi="黑体" w:eastAsia="黑体"/>
                <w:sz w:val="24"/>
              </w:rPr>
            </w:pPr>
            <w:r>
              <w:rPr>
                <w:rFonts w:hint="eastAsia" w:ascii="黑体" w:hAnsi="黑体" w:eastAsia="黑体"/>
                <w:sz w:val="24"/>
              </w:rPr>
              <w:t>项目名称：</w:t>
            </w:r>
            <w:r>
              <w:rPr>
                <w:rFonts w:hint="eastAsia" w:ascii="黑体" w:hAnsi="黑体" w:eastAsia="黑体"/>
                <w:sz w:val="24"/>
                <w:u w:val="single"/>
              </w:rPr>
              <w:t xml:space="preserve">泉州师范学院图书馆办公家具采购项目   </w:t>
            </w:r>
            <w:r>
              <w:rPr>
                <w:rFonts w:hint="eastAsia" w:ascii="黑体" w:hAnsi="黑体" w:eastAsia="黑体"/>
                <w:sz w:val="24"/>
              </w:rPr>
              <w:t>（采购单位）</w:t>
            </w:r>
            <w:r>
              <w:rPr>
                <w:rFonts w:hint="eastAsia" w:ascii="黑体" w:hAnsi="黑体" w:eastAsia="黑体"/>
                <w:sz w:val="24"/>
                <w:u w:val="single"/>
              </w:rPr>
              <w:t xml:space="preserve">泉州师范学院图书馆 </w:t>
            </w:r>
            <w:r>
              <w:rPr>
                <w:rFonts w:hint="eastAsia" w:ascii="宋体" w:hAnsi="宋体" w:cs="宋体"/>
                <w:sz w:val="24"/>
              </w:rPr>
              <w:t> </w:t>
            </w:r>
          </w:p>
        </w:tc>
      </w:tr>
      <w:tr w14:paraId="587AABC2">
        <w:tblPrEx>
          <w:tblCellMar>
            <w:top w:w="0" w:type="dxa"/>
            <w:left w:w="108" w:type="dxa"/>
            <w:bottom w:w="0" w:type="dxa"/>
            <w:right w:w="108" w:type="dxa"/>
          </w:tblCellMar>
        </w:tblPrEx>
        <w:trPr>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3F109F97">
            <w:pPr>
              <w:jc w:val="center"/>
              <w:rPr>
                <w:rFonts w:ascii="黑体" w:hAnsi="黑体" w:eastAsia="黑体"/>
                <w:sz w:val="24"/>
              </w:rPr>
            </w:pPr>
            <w:r>
              <w:rPr>
                <w:rFonts w:hint="eastAsia" w:ascii="黑体" w:hAnsi="黑体" w:eastAsia="黑体"/>
                <w:sz w:val="24"/>
              </w:rPr>
              <w:t>合同包</w:t>
            </w:r>
          </w:p>
        </w:tc>
        <w:tc>
          <w:tcPr>
            <w:tcW w:w="915" w:type="dxa"/>
            <w:tcBorders>
              <w:top w:val="single" w:color="000000" w:sz="4" w:space="0"/>
              <w:left w:val="nil"/>
              <w:bottom w:val="single" w:color="000000" w:sz="4" w:space="0"/>
              <w:right w:val="single" w:color="000000" w:sz="4" w:space="0"/>
            </w:tcBorders>
            <w:vAlign w:val="center"/>
          </w:tcPr>
          <w:p w14:paraId="5DC8ED67">
            <w:pPr>
              <w:jc w:val="center"/>
              <w:rPr>
                <w:rFonts w:ascii="黑体" w:hAnsi="黑体" w:eastAsia="黑体"/>
                <w:sz w:val="24"/>
              </w:rPr>
            </w:pPr>
            <w:r>
              <w:rPr>
                <w:rFonts w:hint="eastAsia" w:ascii="黑体" w:hAnsi="黑体" w:eastAsia="黑体"/>
                <w:sz w:val="24"/>
              </w:rPr>
              <w:t>品目号</w:t>
            </w:r>
          </w:p>
        </w:tc>
        <w:tc>
          <w:tcPr>
            <w:tcW w:w="1608" w:type="dxa"/>
            <w:tcBorders>
              <w:top w:val="single" w:color="000000" w:sz="4" w:space="0"/>
              <w:left w:val="nil"/>
              <w:bottom w:val="single" w:color="000000" w:sz="4" w:space="0"/>
              <w:right w:val="single" w:color="000000" w:sz="4" w:space="0"/>
            </w:tcBorders>
            <w:vAlign w:val="center"/>
          </w:tcPr>
          <w:p w14:paraId="671ADD7F">
            <w:pPr>
              <w:rPr>
                <w:rFonts w:ascii="黑体" w:hAnsi="黑体" w:eastAsia="黑体"/>
                <w:sz w:val="24"/>
              </w:rPr>
            </w:pPr>
            <w:r>
              <w:rPr>
                <w:rFonts w:hint="eastAsia" w:ascii="黑体" w:hAnsi="黑体" w:eastAsia="黑体"/>
                <w:sz w:val="24"/>
              </w:rPr>
              <w:t>商品名称</w:t>
            </w:r>
          </w:p>
        </w:tc>
        <w:tc>
          <w:tcPr>
            <w:tcW w:w="5783" w:type="dxa"/>
            <w:tcBorders>
              <w:top w:val="single" w:color="000000" w:sz="4" w:space="0"/>
              <w:left w:val="nil"/>
              <w:bottom w:val="single" w:color="000000" w:sz="4" w:space="0"/>
              <w:right w:val="single" w:color="000000" w:sz="4" w:space="0"/>
            </w:tcBorders>
            <w:vAlign w:val="center"/>
          </w:tcPr>
          <w:p w14:paraId="286CA694">
            <w:pPr>
              <w:jc w:val="center"/>
              <w:rPr>
                <w:rFonts w:ascii="黑体" w:hAnsi="黑体" w:eastAsia="黑体"/>
                <w:sz w:val="24"/>
              </w:rPr>
            </w:pPr>
            <w:r>
              <w:rPr>
                <w:rFonts w:hint="eastAsia" w:ascii="黑体" w:hAnsi="黑体" w:eastAsia="黑体"/>
                <w:sz w:val="24"/>
              </w:rPr>
              <w:t>参数及规格</w:t>
            </w:r>
          </w:p>
        </w:tc>
        <w:tc>
          <w:tcPr>
            <w:tcW w:w="800" w:type="dxa"/>
            <w:tcBorders>
              <w:top w:val="single" w:color="000000" w:sz="4" w:space="0"/>
              <w:left w:val="nil"/>
              <w:bottom w:val="single" w:color="000000" w:sz="4" w:space="0"/>
              <w:right w:val="single" w:color="000000" w:sz="4" w:space="0"/>
            </w:tcBorders>
            <w:vAlign w:val="center"/>
          </w:tcPr>
          <w:p w14:paraId="709EDAB0">
            <w:pPr>
              <w:jc w:val="center"/>
              <w:rPr>
                <w:rFonts w:ascii="黑体" w:hAnsi="黑体" w:eastAsia="黑体"/>
                <w:sz w:val="24"/>
              </w:rPr>
            </w:pPr>
            <w:r>
              <w:rPr>
                <w:rFonts w:hint="eastAsia" w:ascii="黑体" w:hAnsi="黑体" w:eastAsia="黑体"/>
                <w:sz w:val="24"/>
              </w:rPr>
              <w:t>计量单位</w:t>
            </w:r>
          </w:p>
        </w:tc>
        <w:tc>
          <w:tcPr>
            <w:tcW w:w="750" w:type="dxa"/>
            <w:tcBorders>
              <w:top w:val="single" w:color="000000" w:sz="4" w:space="0"/>
              <w:left w:val="nil"/>
              <w:bottom w:val="single" w:color="000000" w:sz="4" w:space="0"/>
              <w:right w:val="single" w:color="000000" w:sz="4" w:space="0"/>
            </w:tcBorders>
            <w:vAlign w:val="center"/>
          </w:tcPr>
          <w:p w14:paraId="2748FB01">
            <w:pPr>
              <w:jc w:val="center"/>
              <w:rPr>
                <w:rFonts w:ascii="黑体" w:hAnsi="黑体" w:eastAsia="黑体"/>
                <w:sz w:val="24"/>
              </w:rPr>
            </w:pPr>
            <w:r>
              <w:rPr>
                <w:rFonts w:hint="eastAsia" w:ascii="黑体" w:hAnsi="黑体" w:eastAsia="黑体"/>
                <w:sz w:val="24"/>
              </w:rPr>
              <w:t>数量</w:t>
            </w:r>
          </w:p>
        </w:tc>
        <w:tc>
          <w:tcPr>
            <w:tcW w:w="1057" w:type="dxa"/>
            <w:tcBorders>
              <w:top w:val="single" w:color="000000" w:sz="4" w:space="0"/>
              <w:left w:val="nil"/>
              <w:bottom w:val="single" w:color="000000" w:sz="4" w:space="0"/>
              <w:right w:val="single" w:color="000000" w:sz="4" w:space="0"/>
            </w:tcBorders>
            <w:vAlign w:val="center"/>
          </w:tcPr>
          <w:p w14:paraId="47FDE586">
            <w:pPr>
              <w:jc w:val="center"/>
              <w:rPr>
                <w:rFonts w:ascii="黑体" w:hAnsi="黑体" w:eastAsia="黑体"/>
                <w:sz w:val="24"/>
              </w:rPr>
            </w:pPr>
            <w:r>
              <w:rPr>
                <w:rFonts w:hint="eastAsia" w:ascii="黑体" w:hAnsi="黑体" w:eastAsia="黑体"/>
                <w:sz w:val="24"/>
              </w:rPr>
              <w:t>单价（元）</w:t>
            </w:r>
          </w:p>
        </w:tc>
        <w:tc>
          <w:tcPr>
            <w:tcW w:w="1227" w:type="dxa"/>
            <w:tcBorders>
              <w:top w:val="single" w:color="000000" w:sz="4" w:space="0"/>
              <w:left w:val="nil"/>
              <w:bottom w:val="single" w:color="000000" w:sz="4" w:space="0"/>
              <w:right w:val="single" w:color="000000" w:sz="4" w:space="0"/>
            </w:tcBorders>
            <w:vAlign w:val="center"/>
          </w:tcPr>
          <w:p w14:paraId="7B6E7D40">
            <w:pPr>
              <w:jc w:val="center"/>
              <w:rPr>
                <w:rFonts w:ascii="黑体" w:hAnsi="黑体" w:eastAsia="黑体"/>
                <w:sz w:val="24"/>
              </w:rPr>
            </w:pPr>
            <w:r>
              <w:rPr>
                <w:rFonts w:hint="eastAsia" w:ascii="黑体" w:hAnsi="黑体" w:eastAsia="黑体"/>
                <w:sz w:val="24"/>
              </w:rPr>
              <w:t>总价（元）</w:t>
            </w:r>
          </w:p>
        </w:tc>
        <w:tc>
          <w:tcPr>
            <w:tcW w:w="6897" w:type="dxa"/>
            <w:tcBorders>
              <w:top w:val="single" w:color="000000" w:sz="4" w:space="0"/>
              <w:left w:val="nil"/>
              <w:bottom w:val="single" w:color="000000" w:sz="4" w:space="0"/>
              <w:right w:val="single" w:color="000000" w:sz="4" w:space="0"/>
            </w:tcBorders>
            <w:vAlign w:val="center"/>
          </w:tcPr>
          <w:p w14:paraId="2E267F09">
            <w:pPr>
              <w:rPr>
                <w:rFonts w:ascii="黑体" w:hAnsi="黑体" w:eastAsia="黑体"/>
                <w:sz w:val="24"/>
              </w:rPr>
            </w:pPr>
            <w:r>
              <w:rPr>
                <w:rFonts w:hint="eastAsia" w:ascii="黑体" w:hAnsi="黑体" w:eastAsia="黑体"/>
                <w:sz w:val="24"/>
              </w:rPr>
              <w:tab/>
            </w:r>
            <w:r>
              <w:rPr>
                <w:rFonts w:hint="eastAsia" w:ascii="黑体" w:hAnsi="黑体" w:eastAsia="黑体"/>
                <w:sz w:val="24"/>
              </w:rPr>
              <w:t>参考图片</w:t>
            </w:r>
          </w:p>
        </w:tc>
      </w:tr>
      <w:tr w14:paraId="3CF15270">
        <w:tblPrEx>
          <w:tblCellMar>
            <w:top w:w="0" w:type="dxa"/>
            <w:left w:w="108" w:type="dxa"/>
            <w:bottom w:w="0" w:type="dxa"/>
            <w:right w:w="108" w:type="dxa"/>
          </w:tblCellMar>
        </w:tblPrEx>
        <w:trPr>
          <w:trHeight w:val="3508"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558A93BB">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包1</w:t>
            </w:r>
          </w:p>
        </w:tc>
        <w:tc>
          <w:tcPr>
            <w:tcW w:w="915" w:type="dxa"/>
            <w:tcBorders>
              <w:top w:val="single" w:color="000000" w:sz="4" w:space="0"/>
              <w:left w:val="nil"/>
              <w:bottom w:val="single" w:color="000000" w:sz="4" w:space="0"/>
              <w:right w:val="single" w:color="000000" w:sz="4" w:space="0"/>
            </w:tcBorders>
            <w:vAlign w:val="center"/>
          </w:tcPr>
          <w:p w14:paraId="780AF5DC">
            <w:pPr>
              <w:widowControl/>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w:t>
            </w:r>
          </w:p>
        </w:tc>
        <w:tc>
          <w:tcPr>
            <w:tcW w:w="1608" w:type="dxa"/>
            <w:tcBorders>
              <w:top w:val="single" w:color="000000" w:sz="4" w:space="0"/>
              <w:left w:val="nil"/>
              <w:bottom w:val="single" w:color="000000" w:sz="4" w:space="0"/>
              <w:right w:val="single" w:color="000000" w:sz="4" w:space="0"/>
            </w:tcBorders>
            <w:vAlign w:val="center"/>
          </w:tcPr>
          <w:p w14:paraId="11C5FF0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办公桌</w:t>
            </w:r>
          </w:p>
        </w:tc>
        <w:tc>
          <w:tcPr>
            <w:tcW w:w="5783" w:type="dxa"/>
            <w:tcBorders>
              <w:top w:val="single" w:color="000000" w:sz="4" w:space="0"/>
              <w:left w:val="nil"/>
              <w:bottom w:val="single" w:color="000000" w:sz="4" w:space="0"/>
              <w:right w:val="single" w:color="000000" w:sz="4" w:space="0"/>
            </w:tcBorders>
            <w:vAlign w:val="center"/>
          </w:tcPr>
          <w:p w14:paraId="0982F33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规格：</w:t>
            </w:r>
            <w:r>
              <w:rPr>
                <w:rFonts w:asciiTheme="minorEastAsia" w:hAnsiTheme="minorEastAsia" w:eastAsiaTheme="minorEastAsia" w:cstheme="minorEastAsia"/>
                <w:szCs w:val="21"/>
              </w:rPr>
              <w:t>1500</w:t>
            </w:r>
            <w:r>
              <w:rPr>
                <w:rFonts w:hint="eastAsia" w:asciiTheme="minorEastAsia" w:hAnsiTheme="minorEastAsia" w:eastAsiaTheme="minorEastAsia" w:cstheme="minorEastAsia"/>
                <w:szCs w:val="21"/>
              </w:rPr>
              <w:t>W</w:t>
            </w:r>
            <w:r>
              <w:rPr>
                <w:rFonts w:asciiTheme="minorEastAsia" w:hAnsiTheme="minorEastAsia" w:eastAsiaTheme="minorEastAsia" w:cstheme="minorEastAsia"/>
                <w:szCs w:val="21"/>
              </w:rPr>
              <w:t>*700</w:t>
            </w:r>
            <w:r>
              <w:rPr>
                <w:rFonts w:hint="eastAsia" w:asciiTheme="minorEastAsia" w:hAnsiTheme="minorEastAsia" w:eastAsiaTheme="minorEastAsia" w:cstheme="minorEastAsia"/>
                <w:szCs w:val="21"/>
              </w:rPr>
              <w:t>D</w:t>
            </w:r>
            <w:r>
              <w:rPr>
                <w:rFonts w:asciiTheme="minorEastAsia" w:hAnsiTheme="minorEastAsia" w:eastAsiaTheme="minorEastAsia" w:cstheme="minorEastAsia"/>
                <w:szCs w:val="21"/>
              </w:rPr>
              <w:t>*760</w:t>
            </w:r>
            <w:r>
              <w:rPr>
                <w:rFonts w:hint="eastAsia" w:asciiTheme="minorEastAsia" w:hAnsiTheme="minorEastAsia" w:eastAsiaTheme="minorEastAsia" w:cstheme="minorEastAsia"/>
                <w:szCs w:val="21"/>
              </w:rPr>
              <w:t>H（</w:t>
            </w:r>
            <w:r>
              <w:rPr>
                <w:rFonts w:hint="eastAsia" w:ascii="宋体" w:hAnsi="宋体" w:cs="宋体"/>
                <w:szCs w:val="21"/>
              </w:rPr>
              <w:t>mm）</w:t>
            </w:r>
          </w:p>
          <w:p w14:paraId="77A882B3">
            <w:pPr>
              <w:pStyle w:val="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基材采用绿色环保E1级中密度板，木材含水率符合国家标准要求；面材采用三聚氰胺浸渍双饰面板，颜色可选，截面采用PVC封边条热熔防水处理；五金配件；台面、台脚厚=40mm，其它板厚=15mm。</w:t>
            </w:r>
          </w:p>
        </w:tc>
        <w:tc>
          <w:tcPr>
            <w:tcW w:w="800" w:type="dxa"/>
            <w:tcBorders>
              <w:top w:val="single" w:color="000000" w:sz="4" w:space="0"/>
              <w:left w:val="nil"/>
              <w:bottom w:val="single" w:color="000000" w:sz="4" w:space="0"/>
              <w:right w:val="single" w:color="000000" w:sz="4" w:space="0"/>
            </w:tcBorders>
            <w:vAlign w:val="center"/>
          </w:tcPr>
          <w:p w14:paraId="4DFE7C3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张</w:t>
            </w:r>
          </w:p>
        </w:tc>
        <w:tc>
          <w:tcPr>
            <w:tcW w:w="750" w:type="dxa"/>
            <w:tcBorders>
              <w:top w:val="single" w:color="000000" w:sz="4" w:space="0"/>
              <w:left w:val="nil"/>
              <w:bottom w:val="single" w:color="000000" w:sz="4" w:space="0"/>
              <w:right w:val="single" w:color="000000" w:sz="4" w:space="0"/>
            </w:tcBorders>
            <w:vAlign w:val="center"/>
          </w:tcPr>
          <w:p w14:paraId="4B297BC5">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12</w:t>
            </w:r>
          </w:p>
        </w:tc>
        <w:tc>
          <w:tcPr>
            <w:tcW w:w="1057" w:type="dxa"/>
            <w:tcBorders>
              <w:top w:val="single" w:color="000000" w:sz="4" w:space="0"/>
              <w:left w:val="nil"/>
              <w:bottom w:val="single" w:color="000000" w:sz="4" w:space="0"/>
              <w:right w:val="single" w:color="000000" w:sz="4" w:space="0"/>
            </w:tcBorders>
            <w:vAlign w:val="center"/>
          </w:tcPr>
          <w:p w14:paraId="0274B8DC">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1680</w:t>
            </w:r>
          </w:p>
        </w:tc>
        <w:tc>
          <w:tcPr>
            <w:tcW w:w="1227" w:type="dxa"/>
            <w:tcBorders>
              <w:top w:val="single" w:color="000000" w:sz="4" w:space="0"/>
              <w:left w:val="nil"/>
              <w:bottom w:val="single" w:color="000000" w:sz="4" w:space="0"/>
              <w:right w:val="single" w:color="000000" w:sz="4" w:space="0"/>
            </w:tcBorders>
            <w:vAlign w:val="center"/>
          </w:tcPr>
          <w:p w14:paraId="2286A40D">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20160</w:t>
            </w:r>
          </w:p>
        </w:tc>
        <w:tc>
          <w:tcPr>
            <w:tcW w:w="6897" w:type="dxa"/>
            <w:tcBorders>
              <w:top w:val="single" w:color="000000" w:sz="4" w:space="0"/>
              <w:left w:val="nil"/>
              <w:bottom w:val="single" w:color="000000" w:sz="4" w:space="0"/>
              <w:right w:val="single" w:color="000000" w:sz="4" w:space="0"/>
            </w:tcBorders>
            <w:vAlign w:val="center"/>
          </w:tcPr>
          <w:p w14:paraId="127509D1">
            <w:pPr>
              <w:jc w:val="center"/>
              <w:rPr>
                <w:rFonts w:ascii="黑体" w:hAnsi="黑体" w:eastAsia="黑体"/>
                <w:sz w:val="24"/>
              </w:rPr>
            </w:pPr>
            <w:r>
              <w:rPr>
                <w:rFonts w:ascii="Calibri" w:hAnsi="Calibri"/>
                <w:szCs w:val="21"/>
              </w:rPr>
              <w:drawing>
                <wp:inline distT="0" distB="0" distL="0" distR="0">
                  <wp:extent cx="3286125" cy="15811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stretch>
                            <a:fillRect/>
                          </a:stretch>
                        </pic:blipFill>
                        <pic:spPr>
                          <a:xfrm>
                            <a:off x="0" y="0"/>
                            <a:ext cx="3293269" cy="1584587"/>
                          </a:xfrm>
                          <a:prstGeom prst="rect">
                            <a:avLst/>
                          </a:prstGeom>
                          <a:noFill/>
                          <a:ln w="1">
                            <a:noFill/>
                          </a:ln>
                        </pic:spPr>
                      </pic:pic>
                    </a:graphicData>
                  </a:graphic>
                </wp:inline>
              </w:drawing>
            </w:r>
          </w:p>
        </w:tc>
      </w:tr>
      <w:tr w14:paraId="70A3CA1D">
        <w:tblPrEx>
          <w:tblCellMar>
            <w:top w:w="0" w:type="dxa"/>
            <w:left w:w="108" w:type="dxa"/>
            <w:bottom w:w="0" w:type="dxa"/>
            <w:right w:w="108" w:type="dxa"/>
          </w:tblCellMar>
        </w:tblPrEx>
        <w:trPr>
          <w:trHeight w:val="2744"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7468B874">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包1</w:t>
            </w:r>
          </w:p>
        </w:tc>
        <w:tc>
          <w:tcPr>
            <w:tcW w:w="915" w:type="dxa"/>
            <w:tcBorders>
              <w:top w:val="single" w:color="000000" w:sz="4" w:space="0"/>
              <w:left w:val="nil"/>
              <w:bottom w:val="single" w:color="000000" w:sz="4" w:space="0"/>
              <w:right w:val="single" w:color="000000" w:sz="4" w:space="0"/>
            </w:tcBorders>
            <w:vAlign w:val="center"/>
          </w:tcPr>
          <w:p w14:paraId="37C4CFBC">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w:t>
            </w:r>
          </w:p>
        </w:tc>
        <w:tc>
          <w:tcPr>
            <w:tcW w:w="1608" w:type="dxa"/>
            <w:tcBorders>
              <w:top w:val="single" w:color="000000" w:sz="4" w:space="0"/>
              <w:left w:val="nil"/>
              <w:bottom w:val="single" w:color="000000" w:sz="4" w:space="0"/>
              <w:right w:val="single" w:color="000000" w:sz="4" w:space="0"/>
            </w:tcBorders>
            <w:vAlign w:val="center"/>
          </w:tcPr>
          <w:p w14:paraId="1CD9CEA1">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屏风桌</w:t>
            </w:r>
          </w:p>
        </w:tc>
        <w:tc>
          <w:tcPr>
            <w:tcW w:w="5783" w:type="dxa"/>
            <w:tcBorders>
              <w:top w:val="single" w:color="000000" w:sz="4" w:space="0"/>
              <w:left w:val="nil"/>
              <w:bottom w:val="single" w:color="000000" w:sz="4" w:space="0"/>
              <w:right w:val="single" w:color="000000" w:sz="4" w:space="0"/>
            </w:tcBorders>
            <w:vAlign w:val="center"/>
          </w:tcPr>
          <w:p w14:paraId="60941A7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规格：</w:t>
            </w:r>
            <w:r>
              <w:rPr>
                <w:rFonts w:asciiTheme="minorEastAsia" w:hAnsiTheme="minorEastAsia" w:eastAsiaTheme="minorEastAsia" w:cstheme="minorEastAsia"/>
                <w:szCs w:val="21"/>
              </w:rPr>
              <w:t>1500</w:t>
            </w:r>
            <w:r>
              <w:rPr>
                <w:rFonts w:hint="eastAsia" w:asciiTheme="minorEastAsia" w:hAnsiTheme="minorEastAsia" w:eastAsiaTheme="minorEastAsia" w:cstheme="minorEastAsia"/>
                <w:szCs w:val="21"/>
              </w:rPr>
              <w:t>W</w:t>
            </w:r>
            <w:r>
              <w:rPr>
                <w:rFonts w:asciiTheme="minorEastAsia" w:hAnsiTheme="minorEastAsia" w:eastAsiaTheme="minorEastAsia" w:cstheme="minorEastAsia"/>
                <w:szCs w:val="21"/>
              </w:rPr>
              <w:t>*1500</w:t>
            </w:r>
            <w:r>
              <w:rPr>
                <w:rFonts w:hint="eastAsia" w:asciiTheme="minorEastAsia" w:hAnsiTheme="minorEastAsia" w:eastAsiaTheme="minorEastAsia" w:cstheme="minorEastAsia"/>
                <w:szCs w:val="21"/>
              </w:rPr>
              <w:t>D</w:t>
            </w:r>
            <w:r>
              <w:rPr>
                <w:rFonts w:asciiTheme="minorEastAsia" w:hAnsiTheme="minorEastAsia" w:eastAsiaTheme="minorEastAsia" w:cstheme="minorEastAsia"/>
                <w:szCs w:val="21"/>
              </w:rPr>
              <w:t>*1100</w:t>
            </w:r>
            <w:r>
              <w:rPr>
                <w:rFonts w:hint="eastAsia" w:asciiTheme="minorEastAsia" w:hAnsiTheme="minorEastAsia" w:eastAsiaTheme="minorEastAsia" w:cstheme="minorEastAsia"/>
                <w:szCs w:val="21"/>
              </w:rPr>
              <w:t>H（mm</w:t>
            </w:r>
            <w:r>
              <w:rPr>
                <w:rFonts w:asciiTheme="minorEastAsia" w:hAnsiTheme="minorEastAsia" w:eastAsiaTheme="minorEastAsia" w:cstheme="minorEastAsia"/>
                <w:szCs w:val="21"/>
              </w:rPr>
              <w:t>）</w:t>
            </w:r>
          </w:p>
          <w:p w14:paraId="222612D8">
            <w:pPr>
              <w:pStyle w:val="2"/>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2"/>
                <w:sz w:val="21"/>
                <w:szCs w:val="21"/>
              </w:rPr>
              <w:t>屏风采用288#铝合金型材框架，壁厚1.2mm，屏风厚=28mm，表面静电喷涂处理，间色采用玻璃+饰面板；台面及柜体采用绿色环保三聚氰胺中密度纤维板，颜色可选，截面采用PVC封边条处理；五金配件；台面厚25mm，其它板厚=15mm</w:t>
            </w:r>
            <w:r>
              <w:rPr>
                <w:rFonts w:hint="eastAsia" w:asciiTheme="minorEastAsia" w:hAnsiTheme="minorEastAsia" w:eastAsiaTheme="minorEastAsia" w:cstheme="minorEastAsia"/>
                <w:color w:val="auto"/>
                <w:sz w:val="21"/>
                <w:szCs w:val="21"/>
              </w:rPr>
              <w:t>。</w:t>
            </w:r>
          </w:p>
        </w:tc>
        <w:tc>
          <w:tcPr>
            <w:tcW w:w="800" w:type="dxa"/>
            <w:tcBorders>
              <w:top w:val="single" w:color="000000" w:sz="4" w:space="0"/>
              <w:left w:val="nil"/>
              <w:bottom w:val="single" w:color="000000" w:sz="4" w:space="0"/>
              <w:right w:val="single" w:color="000000" w:sz="4" w:space="0"/>
            </w:tcBorders>
            <w:vAlign w:val="center"/>
          </w:tcPr>
          <w:p w14:paraId="4E0813B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位</w:t>
            </w:r>
          </w:p>
        </w:tc>
        <w:tc>
          <w:tcPr>
            <w:tcW w:w="750" w:type="dxa"/>
            <w:tcBorders>
              <w:top w:val="single" w:color="000000" w:sz="4" w:space="0"/>
              <w:left w:val="nil"/>
              <w:bottom w:val="single" w:color="000000" w:sz="4" w:space="0"/>
              <w:right w:val="single" w:color="000000" w:sz="4" w:space="0"/>
            </w:tcBorders>
            <w:vAlign w:val="center"/>
          </w:tcPr>
          <w:p w14:paraId="52B3838B">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8</w:t>
            </w:r>
          </w:p>
        </w:tc>
        <w:tc>
          <w:tcPr>
            <w:tcW w:w="1057" w:type="dxa"/>
            <w:tcBorders>
              <w:top w:val="single" w:color="000000" w:sz="4" w:space="0"/>
              <w:left w:val="nil"/>
              <w:bottom w:val="single" w:color="000000" w:sz="4" w:space="0"/>
              <w:right w:val="single" w:color="000000" w:sz="4" w:space="0"/>
            </w:tcBorders>
            <w:vAlign w:val="center"/>
          </w:tcPr>
          <w:p w14:paraId="29FFD59C">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1900</w:t>
            </w:r>
          </w:p>
        </w:tc>
        <w:tc>
          <w:tcPr>
            <w:tcW w:w="1227" w:type="dxa"/>
            <w:tcBorders>
              <w:top w:val="single" w:color="000000" w:sz="4" w:space="0"/>
              <w:left w:val="nil"/>
              <w:bottom w:val="single" w:color="000000" w:sz="4" w:space="0"/>
              <w:right w:val="single" w:color="000000" w:sz="4" w:space="0"/>
            </w:tcBorders>
            <w:vAlign w:val="center"/>
          </w:tcPr>
          <w:p w14:paraId="66F5CE3A">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15200</w:t>
            </w:r>
          </w:p>
        </w:tc>
        <w:tc>
          <w:tcPr>
            <w:tcW w:w="6897" w:type="dxa"/>
            <w:tcBorders>
              <w:top w:val="single" w:color="000000" w:sz="4" w:space="0"/>
              <w:left w:val="nil"/>
              <w:bottom w:val="single" w:color="000000" w:sz="4" w:space="0"/>
              <w:right w:val="single" w:color="000000" w:sz="4" w:space="0"/>
            </w:tcBorders>
            <w:vAlign w:val="center"/>
          </w:tcPr>
          <w:p w14:paraId="2DFAD2FA">
            <w:pPr>
              <w:jc w:val="center"/>
              <w:rPr>
                <w:rFonts w:ascii="Calibri" w:hAnsi="Calibri"/>
                <w:szCs w:val="21"/>
              </w:rPr>
            </w:pPr>
            <w:r>
              <w:rPr>
                <w:rFonts w:ascii="Calibri" w:hAnsi="Calibri"/>
                <w:szCs w:val="21"/>
              </w:rPr>
              <w:drawing>
                <wp:inline distT="0" distB="0" distL="0" distR="0">
                  <wp:extent cx="2495550" cy="130492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cstate="print"/>
                          <a:stretch>
                            <a:fillRect/>
                          </a:stretch>
                        </pic:blipFill>
                        <pic:spPr>
                          <a:xfrm>
                            <a:off x="0" y="0"/>
                            <a:ext cx="2499248" cy="1306859"/>
                          </a:xfrm>
                          <a:prstGeom prst="rect">
                            <a:avLst/>
                          </a:prstGeom>
                          <a:noFill/>
                          <a:ln w="1">
                            <a:noFill/>
                          </a:ln>
                        </pic:spPr>
                      </pic:pic>
                    </a:graphicData>
                  </a:graphic>
                </wp:inline>
              </w:drawing>
            </w:r>
          </w:p>
        </w:tc>
      </w:tr>
      <w:tr w14:paraId="165EA2B9">
        <w:tblPrEx>
          <w:tblCellMar>
            <w:top w:w="0" w:type="dxa"/>
            <w:left w:w="108" w:type="dxa"/>
            <w:bottom w:w="0" w:type="dxa"/>
            <w:right w:w="108" w:type="dxa"/>
          </w:tblCellMar>
        </w:tblPrEx>
        <w:trPr>
          <w:trHeight w:val="2259"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48AAF422">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包1</w:t>
            </w:r>
          </w:p>
        </w:tc>
        <w:tc>
          <w:tcPr>
            <w:tcW w:w="915" w:type="dxa"/>
            <w:tcBorders>
              <w:top w:val="single" w:color="000000" w:sz="4" w:space="0"/>
              <w:left w:val="nil"/>
              <w:bottom w:val="single" w:color="000000" w:sz="4" w:space="0"/>
              <w:right w:val="single" w:color="000000" w:sz="4" w:space="0"/>
            </w:tcBorders>
            <w:vAlign w:val="center"/>
          </w:tcPr>
          <w:p w14:paraId="10D1F8FC">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w:t>
            </w:r>
          </w:p>
        </w:tc>
        <w:tc>
          <w:tcPr>
            <w:tcW w:w="1608" w:type="dxa"/>
            <w:tcBorders>
              <w:top w:val="single" w:color="000000" w:sz="4" w:space="0"/>
              <w:left w:val="nil"/>
              <w:bottom w:val="single" w:color="000000" w:sz="4" w:space="0"/>
              <w:right w:val="single" w:color="000000" w:sz="4" w:space="0"/>
            </w:tcBorders>
            <w:vAlign w:val="center"/>
          </w:tcPr>
          <w:p w14:paraId="5C9382DD">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值班桌</w:t>
            </w:r>
          </w:p>
        </w:tc>
        <w:tc>
          <w:tcPr>
            <w:tcW w:w="5783" w:type="dxa"/>
            <w:tcBorders>
              <w:top w:val="single" w:color="000000" w:sz="4" w:space="0"/>
              <w:left w:val="nil"/>
              <w:bottom w:val="single" w:color="000000" w:sz="4" w:space="0"/>
              <w:right w:val="single" w:color="000000" w:sz="4" w:space="0"/>
            </w:tcBorders>
            <w:vAlign w:val="center"/>
          </w:tcPr>
          <w:p w14:paraId="7F8F8F5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规格：</w:t>
            </w:r>
            <w:r>
              <w:rPr>
                <w:rFonts w:asciiTheme="minorEastAsia" w:hAnsiTheme="minorEastAsia" w:eastAsiaTheme="minorEastAsia" w:cstheme="minorEastAsia"/>
                <w:szCs w:val="21"/>
              </w:rPr>
              <w:t>11210</w:t>
            </w:r>
            <w:r>
              <w:rPr>
                <w:rFonts w:hint="eastAsia" w:asciiTheme="minorEastAsia" w:hAnsiTheme="minorEastAsia" w:eastAsiaTheme="minorEastAsia" w:cstheme="minorEastAsia"/>
                <w:szCs w:val="21"/>
              </w:rPr>
              <w:t>W</w:t>
            </w:r>
            <w:r>
              <w:rPr>
                <w:rFonts w:asciiTheme="minorEastAsia" w:hAnsiTheme="minorEastAsia" w:eastAsiaTheme="minorEastAsia" w:cstheme="minorEastAsia"/>
                <w:szCs w:val="21"/>
              </w:rPr>
              <w:t>*600</w:t>
            </w:r>
            <w:r>
              <w:rPr>
                <w:rFonts w:hint="eastAsia" w:asciiTheme="minorEastAsia" w:hAnsiTheme="minorEastAsia" w:eastAsiaTheme="minorEastAsia" w:cstheme="minorEastAsia"/>
                <w:szCs w:val="21"/>
              </w:rPr>
              <w:t>D</w:t>
            </w:r>
            <w:r>
              <w:rPr>
                <w:rFonts w:asciiTheme="minorEastAsia" w:hAnsiTheme="minorEastAsia" w:eastAsiaTheme="minorEastAsia" w:cstheme="minorEastAsia"/>
                <w:szCs w:val="21"/>
              </w:rPr>
              <w:t>*76</w:t>
            </w:r>
            <w:r>
              <w:rPr>
                <w:rFonts w:hint="eastAsia" w:asciiTheme="minorEastAsia" w:hAnsiTheme="minorEastAsia" w:eastAsiaTheme="minorEastAsia" w:cstheme="minorEastAsia"/>
                <w:szCs w:val="21"/>
              </w:rPr>
              <w:t>0H（mm</w:t>
            </w:r>
            <w:r>
              <w:rPr>
                <w:rFonts w:asciiTheme="minorEastAsia" w:hAnsiTheme="minorEastAsia" w:eastAsiaTheme="minorEastAsia" w:cstheme="minorEastAsia"/>
                <w:szCs w:val="21"/>
              </w:rPr>
              <w:t>）</w:t>
            </w:r>
          </w:p>
          <w:p w14:paraId="20281D0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基材采用绿色环保E1级中密度板，木材含水率符合国家标准要求；面材采用三聚氰胺浸渍双饰面板，颜色可选，截面采用PVC封边条热熔防水处理；五金配件。台面厚25mm，其它板厚=15mm。</w:t>
            </w:r>
          </w:p>
        </w:tc>
        <w:tc>
          <w:tcPr>
            <w:tcW w:w="800" w:type="dxa"/>
            <w:tcBorders>
              <w:top w:val="single" w:color="000000" w:sz="4" w:space="0"/>
              <w:left w:val="nil"/>
              <w:bottom w:val="single" w:color="000000" w:sz="4" w:space="0"/>
              <w:right w:val="single" w:color="000000" w:sz="4" w:space="0"/>
            </w:tcBorders>
            <w:vAlign w:val="center"/>
          </w:tcPr>
          <w:p w14:paraId="69C7911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米</w:t>
            </w:r>
          </w:p>
        </w:tc>
        <w:tc>
          <w:tcPr>
            <w:tcW w:w="750" w:type="dxa"/>
            <w:tcBorders>
              <w:top w:val="single" w:color="000000" w:sz="4" w:space="0"/>
              <w:left w:val="nil"/>
              <w:bottom w:val="single" w:color="000000" w:sz="4" w:space="0"/>
              <w:right w:val="single" w:color="000000" w:sz="4" w:space="0"/>
            </w:tcBorders>
            <w:vAlign w:val="center"/>
          </w:tcPr>
          <w:p w14:paraId="0F4A335D">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11.2</w:t>
            </w:r>
          </w:p>
        </w:tc>
        <w:tc>
          <w:tcPr>
            <w:tcW w:w="1057" w:type="dxa"/>
            <w:tcBorders>
              <w:top w:val="single" w:color="000000" w:sz="4" w:space="0"/>
              <w:left w:val="nil"/>
              <w:bottom w:val="single" w:color="000000" w:sz="4" w:space="0"/>
              <w:right w:val="single" w:color="000000" w:sz="4" w:space="0"/>
            </w:tcBorders>
            <w:vAlign w:val="center"/>
          </w:tcPr>
          <w:p w14:paraId="78A3FD77">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925</w:t>
            </w:r>
          </w:p>
        </w:tc>
        <w:tc>
          <w:tcPr>
            <w:tcW w:w="1227" w:type="dxa"/>
            <w:tcBorders>
              <w:top w:val="single" w:color="000000" w:sz="4" w:space="0"/>
              <w:left w:val="nil"/>
              <w:bottom w:val="single" w:color="000000" w:sz="4" w:space="0"/>
              <w:right w:val="single" w:color="000000" w:sz="4" w:space="0"/>
            </w:tcBorders>
            <w:vAlign w:val="center"/>
          </w:tcPr>
          <w:p w14:paraId="6D42DC27">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10360</w:t>
            </w:r>
          </w:p>
        </w:tc>
        <w:tc>
          <w:tcPr>
            <w:tcW w:w="6897" w:type="dxa"/>
            <w:tcBorders>
              <w:top w:val="single" w:color="000000" w:sz="4" w:space="0"/>
              <w:left w:val="nil"/>
              <w:bottom w:val="single" w:color="000000" w:sz="4" w:space="0"/>
              <w:right w:val="single" w:color="000000" w:sz="4" w:space="0"/>
            </w:tcBorders>
            <w:vAlign w:val="center"/>
          </w:tcPr>
          <w:p w14:paraId="686BD414">
            <w:pPr>
              <w:jc w:val="center"/>
              <w:rPr>
                <w:rFonts w:ascii="Calibri" w:hAnsi="Calibri"/>
                <w:szCs w:val="21"/>
              </w:rPr>
            </w:pPr>
            <w:r>
              <w:rPr>
                <w:rFonts w:ascii="Calibri" w:hAnsi="Calibri"/>
                <w:szCs w:val="21"/>
              </w:rPr>
              <w:drawing>
                <wp:inline distT="0" distB="0" distL="0" distR="0">
                  <wp:extent cx="2038350" cy="60960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stretch>
                            <a:fillRect/>
                          </a:stretch>
                        </pic:blipFill>
                        <pic:spPr>
                          <a:xfrm>
                            <a:off x="0" y="0"/>
                            <a:ext cx="2038350" cy="609600"/>
                          </a:xfrm>
                          <a:prstGeom prst="rect">
                            <a:avLst/>
                          </a:prstGeom>
                          <a:noFill/>
                          <a:ln w="1">
                            <a:noFill/>
                          </a:ln>
                        </pic:spPr>
                      </pic:pic>
                    </a:graphicData>
                  </a:graphic>
                </wp:inline>
              </w:drawing>
            </w:r>
            <w:r>
              <w:t xml:space="preserve"> </w:t>
            </w:r>
            <w:r>
              <w:rPr>
                <w:rFonts w:ascii="Calibri" w:hAnsi="Calibri"/>
                <w:szCs w:val="21"/>
              </w:rPr>
              <w:drawing>
                <wp:inline distT="0" distB="0" distL="0" distR="0">
                  <wp:extent cx="1533525" cy="5905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cstate="print"/>
                          <a:stretch>
                            <a:fillRect/>
                          </a:stretch>
                        </pic:blipFill>
                        <pic:spPr>
                          <a:xfrm>
                            <a:off x="0" y="0"/>
                            <a:ext cx="1534311" cy="590853"/>
                          </a:xfrm>
                          <a:prstGeom prst="rect">
                            <a:avLst/>
                          </a:prstGeom>
                          <a:noFill/>
                          <a:ln w="1">
                            <a:noFill/>
                          </a:ln>
                        </pic:spPr>
                      </pic:pic>
                    </a:graphicData>
                  </a:graphic>
                </wp:inline>
              </w:drawing>
            </w:r>
          </w:p>
        </w:tc>
      </w:tr>
      <w:tr w14:paraId="0FE1ACB5">
        <w:tblPrEx>
          <w:tblCellMar>
            <w:top w:w="0" w:type="dxa"/>
            <w:left w:w="108" w:type="dxa"/>
            <w:bottom w:w="0" w:type="dxa"/>
            <w:right w:w="108" w:type="dxa"/>
          </w:tblCellMar>
        </w:tblPrEx>
        <w:trPr>
          <w:trHeight w:val="4122"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3E2FF75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包1</w:t>
            </w:r>
          </w:p>
        </w:tc>
        <w:tc>
          <w:tcPr>
            <w:tcW w:w="915" w:type="dxa"/>
            <w:tcBorders>
              <w:top w:val="single" w:color="000000" w:sz="4" w:space="0"/>
              <w:left w:val="nil"/>
              <w:bottom w:val="single" w:color="000000" w:sz="4" w:space="0"/>
              <w:right w:val="single" w:color="000000" w:sz="4" w:space="0"/>
            </w:tcBorders>
            <w:vAlign w:val="center"/>
          </w:tcPr>
          <w:p w14:paraId="729F94D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1-4</w:t>
            </w:r>
          </w:p>
        </w:tc>
        <w:tc>
          <w:tcPr>
            <w:tcW w:w="1608" w:type="dxa"/>
            <w:tcBorders>
              <w:top w:val="single" w:color="000000" w:sz="4" w:space="0"/>
              <w:left w:val="nil"/>
              <w:bottom w:val="single" w:color="000000" w:sz="4" w:space="0"/>
              <w:right w:val="single" w:color="000000" w:sz="4" w:space="0"/>
            </w:tcBorders>
            <w:vAlign w:val="center"/>
          </w:tcPr>
          <w:p w14:paraId="17D147E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咨询台</w:t>
            </w:r>
          </w:p>
        </w:tc>
        <w:tc>
          <w:tcPr>
            <w:tcW w:w="5783" w:type="dxa"/>
            <w:tcBorders>
              <w:top w:val="single" w:color="000000" w:sz="4" w:space="0"/>
              <w:left w:val="nil"/>
              <w:bottom w:val="single" w:color="000000" w:sz="4" w:space="0"/>
              <w:right w:val="single" w:color="000000" w:sz="4" w:space="0"/>
            </w:tcBorders>
            <w:vAlign w:val="center"/>
          </w:tcPr>
          <w:p w14:paraId="0B8A7324">
            <w:pPr>
              <w:pStyle w:val="2"/>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szCs w:val="21"/>
              </w:rPr>
              <w:t>规格：</w:t>
            </w:r>
            <w:r>
              <w:rPr>
                <w:rFonts w:asciiTheme="minorEastAsia" w:hAnsiTheme="minorEastAsia" w:eastAsiaTheme="minorEastAsia" w:cstheme="minorEastAsia"/>
                <w:color w:val="auto"/>
                <w:kern w:val="2"/>
                <w:sz w:val="21"/>
                <w:szCs w:val="21"/>
              </w:rPr>
              <w:t>1400</w:t>
            </w:r>
            <w:r>
              <w:rPr>
                <w:rFonts w:hint="eastAsia" w:asciiTheme="minorEastAsia" w:hAnsiTheme="minorEastAsia" w:eastAsiaTheme="minorEastAsia" w:cstheme="minorEastAsia"/>
                <w:color w:val="auto"/>
                <w:kern w:val="2"/>
                <w:sz w:val="21"/>
                <w:szCs w:val="21"/>
              </w:rPr>
              <w:t>W</w:t>
            </w:r>
            <w:r>
              <w:rPr>
                <w:rFonts w:asciiTheme="minorEastAsia" w:hAnsiTheme="minorEastAsia" w:eastAsiaTheme="minorEastAsia" w:cstheme="minorEastAsia"/>
                <w:color w:val="auto"/>
                <w:kern w:val="2"/>
                <w:sz w:val="21"/>
                <w:szCs w:val="21"/>
              </w:rPr>
              <w:t>*700</w:t>
            </w:r>
            <w:r>
              <w:rPr>
                <w:rFonts w:hint="eastAsia" w:asciiTheme="minorEastAsia" w:hAnsiTheme="minorEastAsia" w:eastAsiaTheme="minorEastAsia" w:cstheme="minorEastAsia"/>
                <w:color w:val="auto"/>
                <w:kern w:val="2"/>
                <w:sz w:val="21"/>
                <w:szCs w:val="21"/>
              </w:rPr>
              <w:t>D</w:t>
            </w:r>
            <w:r>
              <w:rPr>
                <w:rFonts w:asciiTheme="minorEastAsia" w:hAnsiTheme="minorEastAsia" w:eastAsiaTheme="minorEastAsia" w:cstheme="minorEastAsia"/>
                <w:color w:val="auto"/>
                <w:kern w:val="2"/>
                <w:sz w:val="21"/>
                <w:szCs w:val="21"/>
              </w:rPr>
              <w:t>*760</w:t>
            </w:r>
            <w:r>
              <w:rPr>
                <w:rFonts w:hint="eastAsia" w:asciiTheme="minorEastAsia" w:hAnsiTheme="minorEastAsia" w:eastAsiaTheme="minorEastAsia" w:cstheme="minorEastAsia"/>
                <w:color w:val="auto"/>
                <w:kern w:val="2"/>
                <w:sz w:val="21"/>
                <w:szCs w:val="21"/>
              </w:rPr>
              <w:t>H（mm</w:t>
            </w:r>
            <w:r>
              <w:rPr>
                <w:rFonts w:asciiTheme="minorEastAsia" w:hAnsiTheme="minorEastAsia" w:eastAsiaTheme="minorEastAsia" w:cstheme="minorEastAsia"/>
                <w:color w:val="auto"/>
                <w:kern w:val="2"/>
                <w:sz w:val="21"/>
                <w:szCs w:val="21"/>
              </w:rPr>
              <w:t>）</w:t>
            </w:r>
          </w:p>
          <w:p w14:paraId="2B9A4722">
            <w:pPr>
              <w:pStyle w:val="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基材采用绿色环保E1级中密度板，木材含水率符合国家标准要求；面材采用三聚氰胺浸渍双饰面板，颜色可选，截面采用PVC封边条热熔防水处理；五金配件；台面厚=40mm，其它板厚=15mm。</w:t>
            </w:r>
          </w:p>
        </w:tc>
        <w:tc>
          <w:tcPr>
            <w:tcW w:w="800" w:type="dxa"/>
            <w:tcBorders>
              <w:top w:val="single" w:color="000000" w:sz="4" w:space="0"/>
              <w:left w:val="nil"/>
              <w:bottom w:val="single" w:color="000000" w:sz="4" w:space="0"/>
              <w:right w:val="single" w:color="000000" w:sz="4" w:space="0"/>
            </w:tcBorders>
            <w:vAlign w:val="center"/>
          </w:tcPr>
          <w:p w14:paraId="386BBA5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张</w:t>
            </w:r>
          </w:p>
        </w:tc>
        <w:tc>
          <w:tcPr>
            <w:tcW w:w="750" w:type="dxa"/>
            <w:tcBorders>
              <w:top w:val="single" w:color="000000" w:sz="4" w:space="0"/>
              <w:left w:val="nil"/>
              <w:bottom w:val="single" w:color="000000" w:sz="4" w:space="0"/>
              <w:right w:val="single" w:color="000000" w:sz="4" w:space="0"/>
            </w:tcBorders>
            <w:vAlign w:val="center"/>
          </w:tcPr>
          <w:p w14:paraId="61108244">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w:t>
            </w:r>
          </w:p>
        </w:tc>
        <w:tc>
          <w:tcPr>
            <w:tcW w:w="1057" w:type="dxa"/>
            <w:tcBorders>
              <w:top w:val="single" w:color="000000" w:sz="4" w:space="0"/>
              <w:left w:val="nil"/>
              <w:bottom w:val="single" w:color="000000" w:sz="4" w:space="0"/>
              <w:right w:val="single" w:color="000000" w:sz="4" w:space="0"/>
            </w:tcBorders>
            <w:vAlign w:val="center"/>
          </w:tcPr>
          <w:p w14:paraId="5A22E9A9">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1360</w:t>
            </w:r>
          </w:p>
        </w:tc>
        <w:tc>
          <w:tcPr>
            <w:tcW w:w="1227" w:type="dxa"/>
            <w:tcBorders>
              <w:top w:val="single" w:color="000000" w:sz="4" w:space="0"/>
              <w:left w:val="nil"/>
              <w:bottom w:val="single" w:color="000000" w:sz="4" w:space="0"/>
              <w:right w:val="single" w:color="000000" w:sz="4" w:space="0"/>
            </w:tcBorders>
            <w:vAlign w:val="center"/>
          </w:tcPr>
          <w:p w14:paraId="3E275003">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1360</w:t>
            </w:r>
          </w:p>
        </w:tc>
        <w:tc>
          <w:tcPr>
            <w:tcW w:w="6897" w:type="dxa"/>
            <w:tcBorders>
              <w:top w:val="single" w:color="000000" w:sz="4" w:space="0"/>
              <w:left w:val="nil"/>
              <w:bottom w:val="single" w:color="000000" w:sz="4" w:space="0"/>
              <w:right w:val="single" w:color="000000" w:sz="4" w:space="0"/>
            </w:tcBorders>
            <w:vAlign w:val="center"/>
          </w:tcPr>
          <w:p w14:paraId="27516A00">
            <w:pPr>
              <w:jc w:val="center"/>
              <w:rPr>
                <w:rFonts w:ascii="Calibri" w:hAnsi="Calibri"/>
                <w:szCs w:val="21"/>
              </w:rPr>
            </w:pPr>
          </w:p>
          <w:p w14:paraId="228358BC">
            <w:pPr>
              <w:rPr>
                <w:rFonts w:ascii="Calibri" w:hAnsi="Calibri"/>
                <w:szCs w:val="21"/>
              </w:rPr>
            </w:pPr>
          </w:p>
          <w:p w14:paraId="008AD746">
            <w:pPr>
              <w:rPr>
                <w:rFonts w:ascii="Calibri" w:hAnsi="Calibri"/>
                <w:szCs w:val="21"/>
              </w:rPr>
            </w:pPr>
          </w:p>
          <w:p w14:paraId="589A7914">
            <w:pPr>
              <w:jc w:val="center"/>
              <w:rPr>
                <w:rFonts w:ascii="Calibri" w:hAnsi="Calibri"/>
                <w:szCs w:val="21"/>
              </w:rPr>
            </w:pPr>
            <w:r>
              <w:rPr>
                <w:rFonts w:ascii="Calibri" w:hAnsi="Calibri"/>
                <w:szCs w:val="21"/>
              </w:rPr>
              <w:drawing>
                <wp:inline distT="0" distB="0" distL="0" distR="0">
                  <wp:extent cx="1325245" cy="858520"/>
                  <wp:effectExtent l="1905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cstate="print"/>
                          <a:stretch>
                            <a:fillRect/>
                          </a:stretch>
                        </pic:blipFill>
                        <pic:spPr>
                          <a:xfrm>
                            <a:off x="0" y="0"/>
                            <a:ext cx="1325245" cy="858520"/>
                          </a:xfrm>
                          <a:prstGeom prst="rect">
                            <a:avLst/>
                          </a:prstGeom>
                          <a:noFill/>
                          <a:ln w="1">
                            <a:noFill/>
                          </a:ln>
                        </pic:spPr>
                      </pic:pic>
                    </a:graphicData>
                  </a:graphic>
                </wp:inline>
              </w:drawing>
            </w:r>
          </w:p>
        </w:tc>
      </w:tr>
      <w:tr w14:paraId="2E020D21">
        <w:tblPrEx>
          <w:tblCellMar>
            <w:top w:w="0" w:type="dxa"/>
            <w:left w:w="108" w:type="dxa"/>
            <w:bottom w:w="0" w:type="dxa"/>
            <w:right w:w="108" w:type="dxa"/>
          </w:tblCellMar>
        </w:tblPrEx>
        <w:trPr>
          <w:trHeight w:val="4564"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5B255A0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包1</w:t>
            </w:r>
          </w:p>
        </w:tc>
        <w:tc>
          <w:tcPr>
            <w:tcW w:w="915" w:type="dxa"/>
            <w:tcBorders>
              <w:top w:val="single" w:color="000000" w:sz="4" w:space="0"/>
              <w:left w:val="nil"/>
              <w:bottom w:val="single" w:color="000000" w:sz="4" w:space="0"/>
              <w:right w:val="single" w:color="000000" w:sz="4" w:space="0"/>
            </w:tcBorders>
            <w:vAlign w:val="center"/>
          </w:tcPr>
          <w:p w14:paraId="77D8276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1-5</w:t>
            </w:r>
          </w:p>
        </w:tc>
        <w:tc>
          <w:tcPr>
            <w:tcW w:w="1608" w:type="dxa"/>
            <w:tcBorders>
              <w:top w:val="single" w:color="000000" w:sz="4" w:space="0"/>
              <w:left w:val="nil"/>
              <w:bottom w:val="single" w:color="000000" w:sz="4" w:space="0"/>
              <w:right w:val="single" w:color="000000" w:sz="4" w:space="0"/>
            </w:tcBorders>
            <w:vAlign w:val="center"/>
          </w:tcPr>
          <w:p w14:paraId="270F016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咨询台</w:t>
            </w:r>
          </w:p>
        </w:tc>
        <w:tc>
          <w:tcPr>
            <w:tcW w:w="5783" w:type="dxa"/>
            <w:tcBorders>
              <w:top w:val="single" w:color="000000" w:sz="4" w:space="0"/>
              <w:left w:val="nil"/>
              <w:bottom w:val="single" w:color="000000" w:sz="4" w:space="0"/>
              <w:right w:val="single" w:color="000000" w:sz="4" w:space="0"/>
            </w:tcBorders>
            <w:vAlign w:val="center"/>
          </w:tcPr>
          <w:p w14:paraId="3C9A3FBF">
            <w:pPr>
              <w:pStyle w:val="2"/>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szCs w:val="21"/>
              </w:rPr>
              <w:t>规格：</w:t>
            </w:r>
            <w:r>
              <w:rPr>
                <w:rFonts w:asciiTheme="minorEastAsia" w:hAnsiTheme="minorEastAsia" w:eastAsiaTheme="minorEastAsia" w:cstheme="minorEastAsia"/>
                <w:color w:val="auto"/>
                <w:kern w:val="2"/>
                <w:sz w:val="21"/>
                <w:szCs w:val="21"/>
              </w:rPr>
              <w:t>1</w:t>
            </w:r>
            <w:r>
              <w:rPr>
                <w:rFonts w:hint="eastAsia" w:asciiTheme="minorEastAsia" w:hAnsiTheme="minorEastAsia" w:eastAsiaTheme="minorEastAsia" w:cstheme="minorEastAsia"/>
                <w:color w:val="auto"/>
                <w:kern w:val="2"/>
                <w:sz w:val="21"/>
                <w:szCs w:val="21"/>
              </w:rPr>
              <w:t>6</w:t>
            </w:r>
            <w:r>
              <w:rPr>
                <w:rFonts w:asciiTheme="minorEastAsia" w:hAnsiTheme="minorEastAsia" w:eastAsiaTheme="minorEastAsia" w:cstheme="minorEastAsia"/>
                <w:color w:val="auto"/>
                <w:kern w:val="2"/>
                <w:sz w:val="21"/>
                <w:szCs w:val="21"/>
              </w:rPr>
              <w:t>00</w:t>
            </w:r>
            <w:r>
              <w:rPr>
                <w:rFonts w:hint="eastAsia" w:asciiTheme="minorEastAsia" w:hAnsiTheme="minorEastAsia" w:eastAsiaTheme="minorEastAsia" w:cstheme="minorEastAsia"/>
                <w:color w:val="auto"/>
                <w:kern w:val="2"/>
                <w:sz w:val="21"/>
                <w:szCs w:val="21"/>
              </w:rPr>
              <w:t>W</w:t>
            </w:r>
            <w:r>
              <w:rPr>
                <w:rFonts w:asciiTheme="minorEastAsia" w:hAnsiTheme="minorEastAsia" w:eastAsiaTheme="minorEastAsia" w:cstheme="minorEastAsia"/>
                <w:color w:val="auto"/>
                <w:kern w:val="2"/>
                <w:sz w:val="21"/>
                <w:szCs w:val="21"/>
              </w:rPr>
              <w:t>*700</w:t>
            </w:r>
            <w:r>
              <w:rPr>
                <w:rFonts w:hint="eastAsia" w:asciiTheme="minorEastAsia" w:hAnsiTheme="minorEastAsia" w:eastAsiaTheme="minorEastAsia" w:cstheme="minorEastAsia"/>
                <w:color w:val="auto"/>
                <w:kern w:val="2"/>
                <w:sz w:val="21"/>
                <w:szCs w:val="21"/>
              </w:rPr>
              <w:t>D</w:t>
            </w:r>
            <w:r>
              <w:rPr>
                <w:rFonts w:asciiTheme="minorEastAsia" w:hAnsiTheme="minorEastAsia" w:eastAsiaTheme="minorEastAsia" w:cstheme="minorEastAsia"/>
                <w:color w:val="auto"/>
                <w:kern w:val="2"/>
                <w:sz w:val="21"/>
                <w:szCs w:val="21"/>
              </w:rPr>
              <w:t>*760</w:t>
            </w:r>
            <w:r>
              <w:rPr>
                <w:rFonts w:hint="eastAsia" w:asciiTheme="minorEastAsia" w:hAnsiTheme="minorEastAsia" w:eastAsiaTheme="minorEastAsia" w:cstheme="minorEastAsia"/>
                <w:color w:val="auto"/>
                <w:kern w:val="2"/>
                <w:sz w:val="21"/>
                <w:szCs w:val="21"/>
              </w:rPr>
              <w:t>H（mm</w:t>
            </w:r>
            <w:r>
              <w:rPr>
                <w:rFonts w:asciiTheme="minorEastAsia" w:hAnsiTheme="minorEastAsia" w:eastAsiaTheme="minorEastAsia" w:cstheme="minorEastAsia"/>
                <w:color w:val="auto"/>
                <w:kern w:val="2"/>
                <w:sz w:val="21"/>
                <w:szCs w:val="21"/>
              </w:rPr>
              <w:t>）</w:t>
            </w:r>
          </w:p>
          <w:p w14:paraId="44952CF3">
            <w:pPr>
              <w:pStyle w:val="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基材采用绿色环保E1级中密度板，木材含水率符合国家标准要求；面材采用三聚氰胺浸渍双饰面板，颜色可选，截面采用PVC封边条热熔防水处理；五金配件；台面厚=40mm，其它板厚=15mm。</w:t>
            </w:r>
          </w:p>
        </w:tc>
        <w:tc>
          <w:tcPr>
            <w:tcW w:w="800" w:type="dxa"/>
            <w:tcBorders>
              <w:top w:val="single" w:color="000000" w:sz="4" w:space="0"/>
              <w:left w:val="nil"/>
              <w:bottom w:val="single" w:color="000000" w:sz="4" w:space="0"/>
              <w:right w:val="single" w:color="000000" w:sz="4" w:space="0"/>
            </w:tcBorders>
            <w:vAlign w:val="center"/>
          </w:tcPr>
          <w:p w14:paraId="467CFBB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张</w:t>
            </w:r>
          </w:p>
        </w:tc>
        <w:tc>
          <w:tcPr>
            <w:tcW w:w="750" w:type="dxa"/>
            <w:tcBorders>
              <w:top w:val="single" w:color="000000" w:sz="4" w:space="0"/>
              <w:left w:val="nil"/>
              <w:bottom w:val="single" w:color="000000" w:sz="4" w:space="0"/>
              <w:right w:val="single" w:color="000000" w:sz="4" w:space="0"/>
            </w:tcBorders>
            <w:vAlign w:val="center"/>
          </w:tcPr>
          <w:p w14:paraId="6DF6B2FA">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4</w:t>
            </w:r>
          </w:p>
        </w:tc>
        <w:tc>
          <w:tcPr>
            <w:tcW w:w="1057" w:type="dxa"/>
            <w:tcBorders>
              <w:top w:val="single" w:color="000000" w:sz="4" w:space="0"/>
              <w:left w:val="nil"/>
              <w:bottom w:val="single" w:color="000000" w:sz="4" w:space="0"/>
              <w:right w:val="single" w:color="000000" w:sz="4" w:space="0"/>
            </w:tcBorders>
            <w:vAlign w:val="center"/>
          </w:tcPr>
          <w:p w14:paraId="315D1B92">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1480</w:t>
            </w:r>
          </w:p>
        </w:tc>
        <w:tc>
          <w:tcPr>
            <w:tcW w:w="1227" w:type="dxa"/>
            <w:tcBorders>
              <w:top w:val="single" w:color="000000" w:sz="4" w:space="0"/>
              <w:left w:val="nil"/>
              <w:bottom w:val="single" w:color="000000" w:sz="4" w:space="0"/>
              <w:right w:val="single" w:color="000000" w:sz="4" w:space="0"/>
            </w:tcBorders>
            <w:vAlign w:val="center"/>
          </w:tcPr>
          <w:p w14:paraId="235D9B43">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5920</w:t>
            </w:r>
          </w:p>
        </w:tc>
        <w:tc>
          <w:tcPr>
            <w:tcW w:w="6897" w:type="dxa"/>
            <w:tcBorders>
              <w:top w:val="single" w:color="000000" w:sz="4" w:space="0"/>
              <w:left w:val="nil"/>
              <w:bottom w:val="single" w:color="000000" w:sz="4" w:space="0"/>
              <w:right w:val="single" w:color="000000" w:sz="4" w:space="0"/>
            </w:tcBorders>
            <w:vAlign w:val="center"/>
          </w:tcPr>
          <w:p w14:paraId="1EC03BC5">
            <w:pPr>
              <w:jc w:val="center"/>
              <w:rPr>
                <w:rFonts w:ascii="Calibri" w:hAnsi="Calibri"/>
                <w:szCs w:val="21"/>
              </w:rPr>
            </w:pPr>
          </w:p>
          <w:p w14:paraId="338FAE85">
            <w:pPr>
              <w:rPr>
                <w:rFonts w:ascii="Calibri" w:hAnsi="Calibri"/>
                <w:szCs w:val="21"/>
              </w:rPr>
            </w:pPr>
          </w:p>
          <w:p w14:paraId="77BFD5A4">
            <w:pPr>
              <w:rPr>
                <w:rFonts w:ascii="Calibri" w:hAnsi="Calibri"/>
                <w:szCs w:val="21"/>
              </w:rPr>
            </w:pPr>
          </w:p>
          <w:p w14:paraId="00E17897">
            <w:pPr>
              <w:jc w:val="center"/>
              <w:rPr>
                <w:rFonts w:ascii="Calibri" w:hAnsi="Calibri"/>
                <w:szCs w:val="21"/>
              </w:rPr>
            </w:pPr>
            <w:r>
              <w:rPr>
                <w:rFonts w:ascii="Calibri" w:hAnsi="Calibri"/>
                <w:szCs w:val="21"/>
              </w:rPr>
              <w:drawing>
                <wp:inline distT="0" distB="0" distL="0" distR="0">
                  <wp:extent cx="1325245" cy="858520"/>
                  <wp:effectExtent l="19050" t="0" r="8255"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6" cstate="print"/>
                          <a:stretch>
                            <a:fillRect/>
                          </a:stretch>
                        </pic:blipFill>
                        <pic:spPr>
                          <a:xfrm>
                            <a:off x="0" y="0"/>
                            <a:ext cx="1325245" cy="858520"/>
                          </a:xfrm>
                          <a:prstGeom prst="rect">
                            <a:avLst/>
                          </a:prstGeom>
                          <a:noFill/>
                          <a:ln w="1">
                            <a:noFill/>
                          </a:ln>
                        </pic:spPr>
                      </pic:pic>
                    </a:graphicData>
                  </a:graphic>
                </wp:inline>
              </w:drawing>
            </w:r>
          </w:p>
        </w:tc>
      </w:tr>
      <w:tr w14:paraId="6B78F8A0">
        <w:tblPrEx>
          <w:tblCellMar>
            <w:top w:w="0" w:type="dxa"/>
            <w:left w:w="108" w:type="dxa"/>
            <w:bottom w:w="0" w:type="dxa"/>
            <w:right w:w="108" w:type="dxa"/>
          </w:tblCellMar>
        </w:tblPrEx>
        <w:trPr>
          <w:trHeight w:val="4082"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6A2CFA1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包1</w:t>
            </w:r>
          </w:p>
        </w:tc>
        <w:tc>
          <w:tcPr>
            <w:tcW w:w="915" w:type="dxa"/>
            <w:tcBorders>
              <w:top w:val="single" w:color="000000" w:sz="4" w:space="0"/>
              <w:left w:val="nil"/>
              <w:bottom w:val="single" w:color="000000" w:sz="4" w:space="0"/>
              <w:right w:val="single" w:color="000000" w:sz="4" w:space="0"/>
            </w:tcBorders>
            <w:vAlign w:val="center"/>
          </w:tcPr>
          <w:p w14:paraId="164D851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1-6</w:t>
            </w:r>
          </w:p>
        </w:tc>
        <w:tc>
          <w:tcPr>
            <w:tcW w:w="1608" w:type="dxa"/>
            <w:tcBorders>
              <w:top w:val="single" w:color="000000" w:sz="4" w:space="0"/>
              <w:left w:val="nil"/>
              <w:bottom w:val="single" w:color="000000" w:sz="4" w:space="0"/>
              <w:right w:val="single" w:color="000000" w:sz="4" w:space="0"/>
            </w:tcBorders>
            <w:vAlign w:val="center"/>
          </w:tcPr>
          <w:p w14:paraId="4461B8F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手工桌</w:t>
            </w:r>
          </w:p>
        </w:tc>
        <w:tc>
          <w:tcPr>
            <w:tcW w:w="5783" w:type="dxa"/>
            <w:tcBorders>
              <w:top w:val="single" w:color="000000" w:sz="4" w:space="0"/>
              <w:left w:val="nil"/>
              <w:bottom w:val="single" w:color="000000" w:sz="4" w:space="0"/>
              <w:right w:val="single" w:color="000000" w:sz="4" w:space="0"/>
            </w:tcBorders>
            <w:vAlign w:val="center"/>
          </w:tcPr>
          <w:p w14:paraId="6A81307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规格：</w:t>
            </w:r>
            <w:r>
              <w:rPr>
                <w:rFonts w:asciiTheme="minorEastAsia" w:hAnsiTheme="minorEastAsia" w:eastAsiaTheme="minorEastAsia" w:cstheme="minorEastAsia"/>
                <w:szCs w:val="21"/>
              </w:rPr>
              <w:t>1600</w:t>
            </w:r>
            <w:r>
              <w:rPr>
                <w:rFonts w:hint="eastAsia" w:asciiTheme="minorEastAsia" w:hAnsiTheme="minorEastAsia" w:eastAsiaTheme="minorEastAsia" w:cstheme="minorEastAsia"/>
                <w:szCs w:val="21"/>
              </w:rPr>
              <w:t>W</w:t>
            </w:r>
            <w:r>
              <w:rPr>
                <w:rFonts w:asciiTheme="minorEastAsia" w:hAnsiTheme="minorEastAsia" w:eastAsiaTheme="minorEastAsia" w:cstheme="minorEastAsia"/>
                <w:szCs w:val="21"/>
              </w:rPr>
              <w:t>*900</w:t>
            </w:r>
            <w:r>
              <w:rPr>
                <w:rFonts w:hint="eastAsia" w:asciiTheme="minorEastAsia" w:hAnsiTheme="minorEastAsia" w:eastAsiaTheme="minorEastAsia" w:cstheme="minorEastAsia"/>
                <w:szCs w:val="21"/>
              </w:rPr>
              <w:t>D</w:t>
            </w:r>
            <w:r>
              <w:rPr>
                <w:rFonts w:asciiTheme="minorEastAsia" w:hAnsiTheme="minorEastAsia" w:eastAsiaTheme="minorEastAsia" w:cstheme="minorEastAsia"/>
                <w:szCs w:val="21"/>
              </w:rPr>
              <w:t>*760</w:t>
            </w:r>
            <w:r>
              <w:rPr>
                <w:rFonts w:hint="eastAsia" w:asciiTheme="minorEastAsia" w:hAnsiTheme="minorEastAsia" w:eastAsiaTheme="minorEastAsia" w:cstheme="minorEastAsia"/>
                <w:szCs w:val="21"/>
              </w:rPr>
              <w:t>H（mm</w:t>
            </w:r>
            <w:r>
              <w:rPr>
                <w:rFonts w:asciiTheme="minorEastAsia" w:hAnsiTheme="minorEastAsia" w:eastAsiaTheme="minorEastAsia" w:cstheme="minorEastAsia"/>
                <w:szCs w:val="21"/>
              </w:rPr>
              <w:t>）</w:t>
            </w:r>
          </w:p>
          <w:p w14:paraId="463D27B5">
            <w:pPr>
              <w:pStyle w:val="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基材采用绿色环保E1级中密度板，木材含水率符合国家标准要求；面材采用三聚氰胺浸渍双饰面板，颜色可选，截面采用PVC封边条热熔防水处理；喷涂钢支架；台面厚25mm。</w:t>
            </w:r>
          </w:p>
          <w:p w14:paraId="4B6B3BF2">
            <w:pPr>
              <w:pStyle w:val="2"/>
              <w:rPr>
                <w:rFonts w:asciiTheme="minorEastAsia" w:hAnsiTheme="minorEastAsia" w:eastAsiaTheme="minorEastAsia" w:cstheme="minorEastAsia"/>
                <w:color w:val="auto"/>
                <w:sz w:val="21"/>
                <w:szCs w:val="21"/>
              </w:rPr>
            </w:pPr>
          </w:p>
        </w:tc>
        <w:tc>
          <w:tcPr>
            <w:tcW w:w="800" w:type="dxa"/>
            <w:tcBorders>
              <w:top w:val="single" w:color="000000" w:sz="4" w:space="0"/>
              <w:left w:val="nil"/>
              <w:bottom w:val="single" w:color="000000" w:sz="4" w:space="0"/>
              <w:right w:val="single" w:color="000000" w:sz="4" w:space="0"/>
            </w:tcBorders>
            <w:vAlign w:val="center"/>
          </w:tcPr>
          <w:p w14:paraId="37D82FE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张</w:t>
            </w:r>
          </w:p>
        </w:tc>
        <w:tc>
          <w:tcPr>
            <w:tcW w:w="750" w:type="dxa"/>
            <w:tcBorders>
              <w:top w:val="single" w:color="000000" w:sz="4" w:space="0"/>
              <w:left w:val="nil"/>
              <w:bottom w:val="single" w:color="000000" w:sz="4" w:space="0"/>
              <w:right w:val="single" w:color="000000" w:sz="4" w:space="0"/>
            </w:tcBorders>
            <w:vAlign w:val="center"/>
          </w:tcPr>
          <w:p w14:paraId="4D0E513D">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w:t>
            </w:r>
          </w:p>
        </w:tc>
        <w:tc>
          <w:tcPr>
            <w:tcW w:w="1057" w:type="dxa"/>
            <w:tcBorders>
              <w:top w:val="single" w:color="000000" w:sz="4" w:space="0"/>
              <w:left w:val="nil"/>
              <w:bottom w:val="single" w:color="000000" w:sz="4" w:space="0"/>
              <w:right w:val="single" w:color="000000" w:sz="4" w:space="0"/>
            </w:tcBorders>
            <w:vAlign w:val="center"/>
          </w:tcPr>
          <w:p w14:paraId="10B6C2D4">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1300</w:t>
            </w:r>
          </w:p>
        </w:tc>
        <w:tc>
          <w:tcPr>
            <w:tcW w:w="1227" w:type="dxa"/>
            <w:tcBorders>
              <w:top w:val="single" w:color="000000" w:sz="4" w:space="0"/>
              <w:left w:val="nil"/>
              <w:bottom w:val="single" w:color="000000" w:sz="4" w:space="0"/>
              <w:right w:val="single" w:color="000000" w:sz="4" w:space="0"/>
            </w:tcBorders>
            <w:vAlign w:val="center"/>
          </w:tcPr>
          <w:p w14:paraId="4A345494">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2600</w:t>
            </w:r>
          </w:p>
        </w:tc>
        <w:tc>
          <w:tcPr>
            <w:tcW w:w="6897" w:type="dxa"/>
            <w:tcBorders>
              <w:top w:val="single" w:color="000000" w:sz="4" w:space="0"/>
              <w:left w:val="nil"/>
              <w:bottom w:val="single" w:color="000000" w:sz="4" w:space="0"/>
              <w:right w:val="single" w:color="000000" w:sz="4" w:space="0"/>
            </w:tcBorders>
            <w:vAlign w:val="center"/>
          </w:tcPr>
          <w:p w14:paraId="5BC8FDAF">
            <w:pPr>
              <w:jc w:val="center"/>
              <w:rPr>
                <w:rFonts w:ascii="黑体" w:hAnsi="黑体" w:eastAsia="黑体"/>
                <w:sz w:val="24"/>
              </w:rPr>
            </w:pPr>
            <w:r>
              <w:rPr>
                <w:rFonts w:ascii="Calibri" w:hAnsi="Calibri"/>
                <w:szCs w:val="21"/>
              </w:rPr>
              <w:drawing>
                <wp:inline distT="0" distB="0" distL="0" distR="0">
                  <wp:extent cx="1304925" cy="858520"/>
                  <wp:effectExtent l="19050" t="0" r="9525"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7" cstate="print"/>
                          <a:stretch>
                            <a:fillRect/>
                          </a:stretch>
                        </pic:blipFill>
                        <pic:spPr>
                          <a:xfrm>
                            <a:off x="0" y="0"/>
                            <a:ext cx="1304925" cy="858520"/>
                          </a:xfrm>
                          <a:prstGeom prst="rect">
                            <a:avLst/>
                          </a:prstGeom>
                          <a:noFill/>
                          <a:ln w="1">
                            <a:noFill/>
                          </a:ln>
                        </pic:spPr>
                      </pic:pic>
                    </a:graphicData>
                  </a:graphic>
                </wp:inline>
              </w:drawing>
            </w:r>
          </w:p>
        </w:tc>
      </w:tr>
      <w:tr w14:paraId="4AD51BD3">
        <w:tblPrEx>
          <w:tblCellMar>
            <w:top w:w="0" w:type="dxa"/>
            <w:left w:w="108" w:type="dxa"/>
            <w:bottom w:w="0" w:type="dxa"/>
            <w:right w:w="108" w:type="dxa"/>
          </w:tblCellMar>
        </w:tblPrEx>
        <w:trPr>
          <w:trHeight w:val="4082"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095E6BFD">
            <w:pPr>
              <w:pStyle w:val="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包1</w:t>
            </w:r>
          </w:p>
        </w:tc>
        <w:tc>
          <w:tcPr>
            <w:tcW w:w="915" w:type="dxa"/>
            <w:tcBorders>
              <w:top w:val="single" w:color="000000" w:sz="4" w:space="0"/>
              <w:left w:val="nil"/>
              <w:bottom w:val="single" w:color="000000" w:sz="4" w:space="0"/>
              <w:right w:val="single" w:color="000000" w:sz="4" w:space="0"/>
            </w:tcBorders>
            <w:vAlign w:val="center"/>
          </w:tcPr>
          <w:p w14:paraId="4BFCB43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1-7</w:t>
            </w:r>
          </w:p>
        </w:tc>
        <w:tc>
          <w:tcPr>
            <w:tcW w:w="1608" w:type="dxa"/>
            <w:tcBorders>
              <w:top w:val="single" w:color="000000" w:sz="4" w:space="0"/>
              <w:left w:val="nil"/>
              <w:bottom w:val="single" w:color="000000" w:sz="4" w:space="0"/>
              <w:right w:val="single" w:color="000000" w:sz="4" w:space="0"/>
            </w:tcBorders>
            <w:vAlign w:val="center"/>
          </w:tcPr>
          <w:p w14:paraId="49B7AD0E">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手工桌</w:t>
            </w:r>
          </w:p>
        </w:tc>
        <w:tc>
          <w:tcPr>
            <w:tcW w:w="5783" w:type="dxa"/>
            <w:tcBorders>
              <w:top w:val="single" w:color="000000" w:sz="4" w:space="0"/>
              <w:left w:val="nil"/>
              <w:bottom w:val="single" w:color="000000" w:sz="4" w:space="0"/>
              <w:right w:val="single" w:color="000000" w:sz="4" w:space="0"/>
            </w:tcBorders>
            <w:vAlign w:val="center"/>
          </w:tcPr>
          <w:p w14:paraId="6A5A442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规格：24</w:t>
            </w:r>
            <w:r>
              <w:rPr>
                <w:rFonts w:asciiTheme="minorEastAsia" w:hAnsiTheme="minorEastAsia" w:eastAsiaTheme="minorEastAsia" w:cstheme="minorEastAsia"/>
                <w:szCs w:val="21"/>
              </w:rPr>
              <w:t>00</w:t>
            </w:r>
            <w:r>
              <w:rPr>
                <w:rFonts w:hint="eastAsia" w:asciiTheme="minorEastAsia" w:hAnsiTheme="minorEastAsia" w:eastAsiaTheme="minorEastAsia" w:cstheme="minorEastAsia"/>
                <w:szCs w:val="21"/>
              </w:rPr>
              <w:t>W</w:t>
            </w:r>
            <w:r>
              <w:rPr>
                <w:rFonts w:asciiTheme="minorEastAsia" w:hAnsiTheme="minorEastAsia" w:eastAsiaTheme="minorEastAsia" w:cstheme="minorEastAsia"/>
                <w:szCs w:val="21"/>
              </w:rPr>
              <w:t>*900</w:t>
            </w:r>
            <w:r>
              <w:rPr>
                <w:rFonts w:hint="eastAsia" w:asciiTheme="minorEastAsia" w:hAnsiTheme="minorEastAsia" w:eastAsiaTheme="minorEastAsia" w:cstheme="minorEastAsia"/>
                <w:szCs w:val="21"/>
              </w:rPr>
              <w:t>D</w:t>
            </w:r>
            <w:r>
              <w:rPr>
                <w:rFonts w:asciiTheme="minorEastAsia" w:hAnsiTheme="minorEastAsia" w:eastAsiaTheme="minorEastAsia" w:cstheme="minorEastAsia"/>
                <w:szCs w:val="21"/>
              </w:rPr>
              <w:t>*760</w:t>
            </w:r>
            <w:r>
              <w:rPr>
                <w:rFonts w:hint="eastAsia" w:asciiTheme="minorEastAsia" w:hAnsiTheme="minorEastAsia" w:eastAsiaTheme="minorEastAsia" w:cstheme="minorEastAsia"/>
                <w:szCs w:val="21"/>
              </w:rPr>
              <w:t>H（mm</w:t>
            </w:r>
            <w:r>
              <w:rPr>
                <w:rFonts w:asciiTheme="minorEastAsia" w:hAnsiTheme="minorEastAsia" w:eastAsiaTheme="minorEastAsia" w:cstheme="minorEastAsia"/>
                <w:szCs w:val="21"/>
              </w:rPr>
              <w:t>）</w:t>
            </w:r>
          </w:p>
          <w:p w14:paraId="2F924368">
            <w:pPr>
              <w:pStyle w:val="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基材采用绿色环保E1级中密度板，木材含水率符合国家标准要求；面材采用三聚氰胺浸渍双饰面板，颜色可选，截面采用PVC封边条热熔防水处理；喷涂钢支架；台面厚25mm。</w:t>
            </w:r>
          </w:p>
          <w:p w14:paraId="6C4DC594">
            <w:pPr>
              <w:pStyle w:val="2"/>
              <w:rPr>
                <w:rFonts w:asciiTheme="minorEastAsia" w:hAnsiTheme="minorEastAsia" w:eastAsiaTheme="minorEastAsia" w:cstheme="minorEastAsia"/>
                <w:color w:val="auto"/>
                <w:sz w:val="21"/>
                <w:szCs w:val="21"/>
              </w:rPr>
            </w:pPr>
          </w:p>
        </w:tc>
        <w:tc>
          <w:tcPr>
            <w:tcW w:w="800" w:type="dxa"/>
            <w:tcBorders>
              <w:top w:val="single" w:color="000000" w:sz="4" w:space="0"/>
              <w:left w:val="nil"/>
              <w:bottom w:val="single" w:color="000000" w:sz="4" w:space="0"/>
              <w:right w:val="single" w:color="000000" w:sz="4" w:space="0"/>
            </w:tcBorders>
            <w:vAlign w:val="center"/>
          </w:tcPr>
          <w:p w14:paraId="48570E8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张</w:t>
            </w:r>
          </w:p>
        </w:tc>
        <w:tc>
          <w:tcPr>
            <w:tcW w:w="750" w:type="dxa"/>
            <w:tcBorders>
              <w:top w:val="single" w:color="000000" w:sz="4" w:space="0"/>
              <w:left w:val="nil"/>
              <w:bottom w:val="single" w:color="000000" w:sz="4" w:space="0"/>
              <w:right w:val="single" w:color="000000" w:sz="4" w:space="0"/>
            </w:tcBorders>
            <w:vAlign w:val="center"/>
          </w:tcPr>
          <w:p w14:paraId="2D358BCB">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3</w:t>
            </w:r>
          </w:p>
        </w:tc>
        <w:tc>
          <w:tcPr>
            <w:tcW w:w="1057" w:type="dxa"/>
            <w:tcBorders>
              <w:top w:val="single" w:color="000000" w:sz="4" w:space="0"/>
              <w:left w:val="nil"/>
              <w:bottom w:val="single" w:color="000000" w:sz="4" w:space="0"/>
              <w:right w:val="single" w:color="000000" w:sz="4" w:space="0"/>
            </w:tcBorders>
            <w:vAlign w:val="center"/>
          </w:tcPr>
          <w:p w14:paraId="09D3578B">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1610</w:t>
            </w:r>
          </w:p>
        </w:tc>
        <w:tc>
          <w:tcPr>
            <w:tcW w:w="1227" w:type="dxa"/>
            <w:tcBorders>
              <w:top w:val="single" w:color="000000" w:sz="4" w:space="0"/>
              <w:left w:val="nil"/>
              <w:bottom w:val="single" w:color="000000" w:sz="4" w:space="0"/>
              <w:right w:val="single" w:color="000000" w:sz="4" w:space="0"/>
            </w:tcBorders>
            <w:vAlign w:val="center"/>
          </w:tcPr>
          <w:p w14:paraId="62B7D640">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4830</w:t>
            </w:r>
          </w:p>
        </w:tc>
        <w:tc>
          <w:tcPr>
            <w:tcW w:w="6897" w:type="dxa"/>
            <w:tcBorders>
              <w:top w:val="single" w:color="000000" w:sz="4" w:space="0"/>
              <w:left w:val="nil"/>
              <w:bottom w:val="single" w:color="000000" w:sz="4" w:space="0"/>
              <w:right w:val="single" w:color="000000" w:sz="4" w:space="0"/>
            </w:tcBorders>
            <w:vAlign w:val="center"/>
          </w:tcPr>
          <w:p w14:paraId="612BF4C6">
            <w:pPr>
              <w:jc w:val="center"/>
              <w:rPr>
                <w:rFonts w:ascii="黑体" w:hAnsi="黑体" w:eastAsia="黑体"/>
                <w:sz w:val="24"/>
              </w:rPr>
            </w:pPr>
            <w:r>
              <w:rPr>
                <w:rFonts w:ascii="Calibri" w:hAnsi="Calibri"/>
                <w:szCs w:val="21"/>
              </w:rPr>
              <w:drawing>
                <wp:inline distT="0" distB="0" distL="0" distR="0">
                  <wp:extent cx="1304925" cy="858520"/>
                  <wp:effectExtent l="19050" t="0" r="9525"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7" cstate="print"/>
                          <a:stretch>
                            <a:fillRect/>
                          </a:stretch>
                        </pic:blipFill>
                        <pic:spPr>
                          <a:xfrm>
                            <a:off x="0" y="0"/>
                            <a:ext cx="1304925" cy="858520"/>
                          </a:xfrm>
                          <a:prstGeom prst="rect">
                            <a:avLst/>
                          </a:prstGeom>
                          <a:noFill/>
                          <a:ln w="1">
                            <a:noFill/>
                          </a:ln>
                        </pic:spPr>
                      </pic:pic>
                    </a:graphicData>
                  </a:graphic>
                </wp:inline>
              </w:drawing>
            </w:r>
          </w:p>
        </w:tc>
      </w:tr>
      <w:tr w14:paraId="41B7F41B">
        <w:tblPrEx>
          <w:tblCellMar>
            <w:top w:w="0" w:type="dxa"/>
            <w:left w:w="108" w:type="dxa"/>
            <w:bottom w:w="0" w:type="dxa"/>
            <w:right w:w="108" w:type="dxa"/>
          </w:tblCellMar>
        </w:tblPrEx>
        <w:trPr>
          <w:trHeight w:val="3379"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0E68277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包1</w:t>
            </w:r>
          </w:p>
        </w:tc>
        <w:tc>
          <w:tcPr>
            <w:tcW w:w="915" w:type="dxa"/>
            <w:tcBorders>
              <w:top w:val="single" w:color="000000" w:sz="4" w:space="0"/>
              <w:left w:val="nil"/>
              <w:bottom w:val="single" w:color="000000" w:sz="4" w:space="0"/>
              <w:right w:val="single" w:color="000000" w:sz="4" w:space="0"/>
            </w:tcBorders>
            <w:vAlign w:val="center"/>
          </w:tcPr>
          <w:p w14:paraId="547D2B5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1-8</w:t>
            </w:r>
          </w:p>
        </w:tc>
        <w:tc>
          <w:tcPr>
            <w:tcW w:w="1608" w:type="dxa"/>
            <w:tcBorders>
              <w:top w:val="single" w:color="000000" w:sz="4" w:space="0"/>
              <w:left w:val="nil"/>
              <w:bottom w:val="single" w:color="000000" w:sz="4" w:space="0"/>
              <w:right w:val="single" w:color="000000" w:sz="4" w:space="0"/>
            </w:tcBorders>
            <w:vAlign w:val="center"/>
          </w:tcPr>
          <w:p w14:paraId="378C167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办公椅</w:t>
            </w:r>
          </w:p>
        </w:tc>
        <w:tc>
          <w:tcPr>
            <w:tcW w:w="5783" w:type="dxa"/>
            <w:tcBorders>
              <w:top w:val="single" w:color="000000" w:sz="4" w:space="0"/>
              <w:left w:val="nil"/>
              <w:bottom w:val="single" w:color="000000" w:sz="4" w:space="0"/>
              <w:right w:val="single" w:color="000000" w:sz="4" w:space="0"/>
            </w:tcBorders>
            <w:vAlign w:val="center"/>
          </w:tcPr>
          <w:p w14:paraId="4383A8A7">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规格：扶手外宽600*座深530*1000/1100（mm</w:t>
            </w:r>
            <w:r>
              <w:rPr>
                <w:rFonts w:asciiTheme="minorEastAsia" w:hAnsiTheme="minorEastAsia" w:eastAsiaTheme="minorEastAsia" w:cstheme="minorEastAsia"/>
                <w:szCs w:val="21"/>
              </w:rPr>
              <w:t>）</w:t>
            </w:r>
          </w:p>
          <w:p w14:paraId="0B7F446D">
            <w:pPr>
              <w:pStyle w:val="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1、背框及扶手采用尼龙加纤（PA+GF）高强度塑料材质；</w:t>
            </w:r>
          </w:p>
          <w:p w14:paraId="7965D6AC">
            <w:pPr>
              <w:pStyle w:val="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2、背网采用涤纶+PVC，强度高、重量轻、抗压冲击性强，防虫、防火、保温、具备良好的透气性及回弹性，防潮防霉；</w:t>
            </w:r>
          </w:p>
          <w:p w14:paraId="29F8DD28">
            <w:pPr>
              <w:pStyle w:val="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3、座面布料采用涤纶，强度高、弹性好，热塑性、耐磨性好、耐腐蚀及耐光性好，色牢度高，不易褪色；</w:t>
            </w:r>
          </w:p>
          <w:p w14:paraId="620FBD2E">
            <w:pPr>
              <w:pStyle w:val="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4、海绵采用高密度定型棉，软硬度在60度以上，高回弹，抗变形能力强，</w:t>
            </w:r>
            <w:r>
              <w:rPr>
                <w:rFonts w:hint="eastAsia" w:asciiTheme="minorEastAsia" w:hAnsiTheme="minorEastAsia" w:eastAsiaTheme="minorEastAsia" w:cstheme="minorEastAsia"/>
                <w:color w:val="auto"/>
                <w:sz w:val="21"/>
                <w:szCs w:val="21"/>
                <w:lang w:val="en-US" w:eastAsia="zh-CN"/>
              </w:rPr>
              <w:t>根据</w:t>
            </w:r>
            <w:r>
              <w:rPr>
                <w:rFonts w:hint="eastAsia" w:asciiTheme="minorEastAsia" w:hAnsiTheme="minorEastAsia" w:eastAsiaTheme="minorEastAsia" w:cstheme="minorEastAsia"/>
                <w:color w:val="auto"/>
                <w:sz w:val="21"/>
                <w:szCs w:val="21"/>
              </w:rPr>
              <w:t>人体工程学原理设计，坐感舒适；</w:t>
            </w:r>
          </w:p>
          <w:p w14:paraId="144E8896">
            <w:pPr>
              <w:pStyle w:val="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5、坐板采用E1级曲木板一次热压成型，经防腐、防虫等化学处理，厚度12-15mm；</w:t>
            </w:r>
          </w:p>
          <w:p w14:paraId="4A2FDF83">
            <w:pPr>
              <w:pStyle w:val="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6、原位锁定底盘，带控制手柄；</w:t>
            </w:r>
          </w:p>
          <w:p w14:paraId="1EDA67D0">
            <w:pPr>
              <w:pStyle w:val="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7、气杆采用85#沉口4公分气杆，钢制主体，壁厚2.0mm，填充99.99%以上氮气，行程≥80mm，升降自如；</w:t>
            </w:r>
          </w:p>
          <w:p w14:paraId="18627F78">
            <w:pPr>
              <w:pStyle w:val="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8、∮340尼龙五星脚架，配φ60mm黑色专用万向轮。</w:t>
            </w:r>
          </w:p>
        </w:tc>
        <w:tc>
          <w:tcPr>
            <w:tcW w:w="800" w:type="dxa"/>
            <w:tcBorders>
              <w:top w:val="single" w:color="000000" w:sz="4" w:space="0"/>
              <w:left w:val="nil"/>
              <w:bottom w:val="single" w:color="000000" w:sz="4" w:space="0"/>
              <w:right w:val="single" w:color="000000" w:sz="4" w:space="0"/>
            </w:tcBorders>
            <w:vAlign w:val="center"/>
          </w:tcPr>
          <w:p w14:paraId="5E31479A">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张</w:t>
            </w:r>
          </w:p>
        </w:tc>
        <w:tc>
          <w:tcPr>
            <w:tcW w:w="750" w:type="dxa"/>
            <w:tcBorders>
              <w:top w:val="single" w:color="000000" w:sz="4" w:space="0"/>
              <w:left w:val="nil"/>
              <w:bottom w:val="single" w:color="000000" w:sz="4" w:space="0"/>
              <w:right w:val="single" w:color="000000" w:sz="4" w:space="0"/>
            </w:tcBorders>
            <w:vAlign w:val="center"/>
          </w:tcPr>
          <w:p w14:paraId="40E04D3D">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29</w:t>
            </w:r>
          </w:p>
        </w:tc>
        <w:tc>
          <w:tcPr>
            <w:tcW w:w="1057" w:type="dxa"/>
            <w:tcBorders>
              <w:top w:val="single" w:color="000000" w:sz="4" w:space="0"/>
              <w:left w:val="nil"/>
              <w:bottom w:val="single" w:color="000000" w:sz="4" w:space="0"/>
              <w:right w:val="single" w:color="000000" w:sz="4" w:space="0"/>
            </w:tcBorders>
            <w:vAlign w:val="center"/>
          </w:tcPr>
          <w:p w14:paraId="54618A88">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550</w:t>
            </w:r>
          </w:p>
        </w:tc>
        <w:tc>
          <w:tcPr>
            <w:tcW w:w="1227" w:type="dxa"/>
            <w:tcBorders>
              <w:top w:val="single" w:color="000000" w:sz="4" w:space="0"/>
              <w:left w:val="nil"/>
              <w:bottom w:val="single" w:color="000000" w:sz="4" w:space="0"/>
              <w:right w:val="single" w:color="000000" w:sz="4" w:space="0"/>
            </w:tcBorders>
            <w:vAlign w:val="center"/>
          </w:tcPr>
          <w:p w14:paraId="425C2F6E">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15950</w:t>
            </w:r>
          </w:p>
        </w:tc>
        <w:tc>
          <w:tcPr>
            <w:tcW w:w="6897" w:type="dxa"/>
            <w:tcBorders>
              <w:top w:val="single" w:color="000000" w:sz="4" w:space="0"/>
              <w:left w:val="nil"/>
              <w:bottom w:val="single" w:color="000000" w:sz="4" w:space="0"/>
              <w:right w:val="single" w:color="000000" w:sz="4" w:space="0"/>
            </w:tcBorders>
            <w:vAlign w:val="center"/>
          </w:tcPr>
          <w:p w14:paraId="2F10256B">
            <w:pPr>
              <w:jc w:val="center"/>
              <w:rPr>
                <w:rFonts w:ascii="黑体" w:hAnsi="黑体" w:eastAsia="黑体"/>
                <w:sz w:val="24"/>
              </w:rPr>
            </w:pPr>
            <w:r>
              <w:rPr>
                <w:rFonts w:ascii="Calibri" w:hAnsi="Calibri"/>
                <w:szCs w:val="21"/>
              </w:rPr>
              <w:drawing>
                <wp:inline distT="0" distB="0" distL="0" distR="0">
                  <wp:extent cx="991235" cy="1488440"/>
                  <wp:effectExtent l="19050" t="0" r="0"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8" cstate="print"/>
                          <a:stretch>
                            <a:fillRect/>
                          </a:stretch>
                        </pic:blipFill>
                        <pic:spPr>
                          <a:xfrm>
                            <a:off x="0" y="0"/>
                            <a:ext cx="991235" cy="1488440"/>
                          </a:xfrm>
                          <a:prstGeom prst="rect">
                            <a:avLst/>
                          </a:prstGeom>
                          <a:noFill/>
                          <a:ln w="1">
                            <a:noFill/>
                          </a:ln>
                        </pic:spPr>
                      </pic:pic>
                    </a:graphicData>
                  </a:graphic>
                </wp:inline>
              </w:drawing>
            </w:r>
          </w:p>
        </w:tc>
      </w:tr>
      <w:tr w14:paraId="1A5ADD7A">
        <w:tblPrEx>
          <w:tblCellMar>
            <w:top w:w="0" w:type="dxa"/>
            <w:left w:w="108" w:type="dxa"/>
            <w:bottom w:w="0" w:type="dxa"/>
            <w:right w:w="108" w:type="dxa"/>
          </w:tblCellMar>
        </w:tblPrEx>
        <w:trPr>
          <w:trHeight w:val="477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55F700AC">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包1</w:t>
            </w:r>
          </w:p>
        </w:tc>
        <w:tc>
          <w:tcPr>
            <w:tcW w:w="915" w:type="dxa"/>
            <w:tcBorders>
              <w:top w:val="single" w:color="000000" w:sz="4" w:space="0"/>
              <w:left w:val="nil"/>
              <w:bottom w:val="single" w:color="000000" w:sz="4" w:space="0"/>
              <w:right w:val="single" w:color="000000" w:sz="4" w:space="0"/>
            </w:tcBorders>
            <w:vAlign w:val="center"/>
          </w:tcPr>
          <w:p w14:paraId="21E7485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1-9</w:t>
            </w:r>
          </w:p>
        </w:tc>
        <w:tc>
          <w:tcPr>
            <w:tcW w:w="1608" w:type="dxa"/>
            <w:tcBorders>
              <w:top w:val="single" w:color="000000" w:sz="4" w:space="0"/>
              <w:left w:val="nil"/>
              <w:bottom w:val="single" w:color="000000" w:sz="4" w:space="0"/>
              <w:right w:val="single" w:color="000000" w:sz="4" w:space="0"/>
            </w:tcBorders>
            <w:vAlign w:val="center"/>
          </w:tcPr>
          <w:p w14:paraId="6D09531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办公椅</w:t>
            </w:r>
          </w:p>
        </w:tc>
        <w:tc>
          <w:tcPr>
            <w:tcW w:w="5783" w:type="dxa"/>
            <w:tcBorders>
              <w:top w:val="single" w:color="000000" w:sz="4" w:space="0"/>
              <w:left w:val="nil"/>
              <w:bottom w:val="single" w:color="000000" w:sz="4" w:space="0"/>
              <w:right w:val="single" w:color="000000" w:sz="4" w:space="0"/>
            </w:tcBorders>
            <w:vAlign w:val="center"/>
          </w:tcPr>
          <w:p w14:paraId="22FF6E7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规格：座宽</w:t>
            </w:r>
            <w:r>
              <w:rPr>
                <w:rFonts w:asciiTheme="minorEastAsia" w:hAnsiTheme="minorEastAsia" w:eastAsiaTheme="minorEastAsia" w:cstheme="minorEastAsia"/>
                <w:szCs w:val="21"/>
              </w:rPr>
              <w:t>4</w:t>
            </w:r>
            <w:r>
              <w:rPr>
                <w:rFonts w:hint="eastAsia" w:asciiTheme="minorEastAsia" w:hAnsiTheme="minorEastAsia" w:eastAsiaTheme="minorEastAsia" w:cstheme="minorEastAsia"/>
                <w:szCs w:val="21"/>
              </w:rPr>
              <w:t>4</w:t>
            </w:r>
            <w:r>
              <w:rPr>
                <w:rFonts w:asciiTheme="minorEastAsia" w:hAnsiTheme="minorEastAsia" w:eastAsiaTheme="minorEastAsia" w:cstheme="minorEastAsia"/>
                <w:szCs w:val="21"/>
              </w:rPr>
              <w:t>0</w:t>
            </w:r>
            <w:r>
              <w:rPr>
                <w:rFonts w:hint="eastAsia" w:asciiTheme="minorEastAsia" w:hAnsiTheme="minorEastAsia" w:eastAsiaTheme="minorEastAsia" w:cstheme="minorEastAsia"/>
                <w:szCs w:val="21"/>
              </w:rPr>
              <w:t>W</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座深</w:t>
            </w:r>
            <w:r>
              <w:rPr>
                <w:rFonts w:asciiTheme="minorEastAsia" w:hAnsiTheme="minorEastAsia" w:eastAsiaTheme="minorEastAsia" w:cstheme="minorEastAsia"/>
                <w:szCs w:val="21"/>
              </w:rPr>
              <w:t>4</w:t>
            </w:r>
            <w:r>
              <w:rPr>
                <w:rFonts w:hint="eastAsia" w:asciiTheme="minorEastAsia" w:hAnsiTheme="minorEastAsia" w:eastAsiaTheme="minorEastAsia" w:cstheme="minorEastAsia"/>
                <w:szCs w:val="21"/>
              </w:rPr>
              <w:t>25D</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座高</w:t>
            </w:r>
            <w:r>
              <w:rPr>
                <w:rFonts w:asciiTheme="minorEastAsia" w:hAnsiTheme="minorEastAsia" w:eastAsiaTheme="minorEastAsia" w:cstheme="minorEastAsia"/>
                <w:szCs w:val="21"/>
              </w:rPr>
              <w:t>4</w:t>
            </w:r>
            <w:r>
              <w:rPr>
                <w:rFonts w:hint="eastAsia" w:asciiTheme="minorEastAsia" w:hAnsiTheme="minorEastAsia" w:eastAsiaTheme="minorEastAsia" w:cstheme="minorEastAsia"/>
                <w:szCs w:val="21"/>
              </w:rPr>
              <w:t>30</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椅高</w:t>
            </w:r>
            <w:r>
              <w:rPr>
                <w:rFonts w:asciiTheme="minorEastAsia" w:hAnsiTheme="minorEastAsia" w:eastAsiaTheme="minorEastAsia" w:cstheme="minorEastAsia"/>
                <w:szCs w:val="21"/>
              </w:rPr>
              <w:t>8</w:t>
            </w:r>
            <w:r>
              <w:rPr>
                <w:rFonts w:hint="eastAsia" w:asciiTheme="minorEastAsia" w:hAnsiTheme="minorEastAsia" w:eastAsiaTheme="minorEastAsia" w:cstheme="minorEastAsia"/>
                <w:szCs w:val="21"/>
              </w:rPr>
              <w:t>60H(mm)</w:t>
            </w:r>
            <w:r>
              <w:rPr>
                <w:rFonts w:hint="eastAsia" w:ascii="宋体" w:hAnsi="宋体" w:cs="宋体"/>
              </w:rPr>
              <w:t xml:space="preserve"> </w:t>
            </w:r>
          </w:p>
          <w:p w14:paraId="2183CC9D">
            <w:pPr>
              <w:pStyle w:val="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椅架采用橡木制作。油漆采用环保底、面漆。座板440*425*19mm，座高430mm，椅高860mm。前脚50*50mm，后脚30*50mm，前、侧上条20*70mm，后上条22*70mm，侧下拉条20*30mm，椅背460*160*19mm。</w:t>
            </w:r>
          </w:p>
        </w:tc>
        <w:tc>
          <w:tcPr>
            <w:tcW w:w="800" w:type="dxa"/>
            <w:tcBorders>
              <w:top w:val="single" w:color="000000" w:sz="4" w:space="0"/>
              <w:left w:val="nil"/>
              <w:bottom w:val="single" w:color="000000" w:sz="4" w:space="0"/>
              <w:right w:val="single" w:color="000000" w:sz="4" w:space="0"/>
            </w:tcBorders>
            <w:vAlign w:val="center"/>
          </w:tcPr>
          <w:p w14:paraId="3A7A1CB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张</w:t>
            </w:r>
          </w:p>
        </w:tc>
        <w:tc>
          <w:tcPr>
            <w:tcW w:w="750" w:type="dxa"/>
            <w:tcBorders>
              <w:top w:val="single" w:color="000000" w:sz="4" w:space="0"/>
              <w:left w:val="nil"/>
              <w:bottom w:val="single" w:color="000000" w:sz="4" w:space="0"/>
              <w:right w:val="single" w:color="000000" w:sz="4" w:space="0"/>
            </w:tcBorders>
            <w:vAlign w:val="center"/>
          </w:tcPr>
          <w:p w14:paraId="07AF6657">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20</w:t>
            </w:r>
          </w:p>
        </w:tc>
        <w:tc>
          <w:tcPr>
            <w:tcW w:w="1057" w:type="dxa"/>
            <w:tcBorders>
              <w:top w:val="single" w:color="000000" w:sz="4" w:space="0"/>
              <w:left w:val="nil"/>
              <w:bottom w:val="single" w:color="000000" w:sz="4" w:space="0"/>
              <w:right w:val="single" w:color="000000" w:sz="4" w:space="0"/>
            </w:tcBorders>
            <w:vAlign w:val="center"/>
          </w:tcPr>
          <w:p w14:paraId="0786FAFF">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380</w:t>
            </w:r>
          </w:p>
        </w:tc>
        <w:tc>
          <w:tcPr>
            <w:tcW w:w="1227" w:type="dxa"/>
            <w:tcBorders>
              <w:top w:val="single" w:color="000000" w:sz="4" w:space="0"/>
              <w:left w:val="nil"/>
              <w:bottom w:val="single" w:color="000000" w:sz="4" w:space="0"/>
              <w:right w:val="single" w:color="000000" w:sz="4" w:space="0"/>
            </w:tcBorders>
            <w:vAlign w:val="center"/>
          </w:tcPr>
          <w:p w14:paraId="4FF5FCEE">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7600</w:t>
            </w:r>
          </w:p>
        </w:tc>
        <w:tc>
          <w:tcPr>
            <w:tcW w:w="6897" w:type="dxa"/>
            <w:tcBorders>
              <w:top w:val="single" w:color="000000" w:sz="4" w:space="0"/>
              <w:left w:val="nil"/>
              <w:bottom w:val="single" w:color="000000" w:sz="4" w:space="0"/>
              <w:right w:val="single" w:color="000000" w:sz="4" w:space="0"/>
            </w:tcBorders>
            <w:vAlign w:val="center"/>
          </w:tcPr>
          <w:p w14:paraId="020CC14B">
            <w:pPr>
              <w:autoSpaceDE w:val="0"/>
              <w:autoSpaceDN w:val="0"/>
              <w:adjustRightInd w:val="0"/>
              <w:jc w:val="center"/>
              <w:rPr>
                <w:rFonts w:ascii="Arial" w:hAnsi="Arial" w:cs="Arial"/>
                <w:kern w:val="0"/>
                <w:sz w:val="24"/>
              </w:rPr>
            </w:pPr>
            <w:r>
              <w:rPr>
                <w:rFonts w:ascii="Arial" w:hAnsi="Arial" w:cs="Arial"/>
                <w:kern w:val="0"/>
                <w:sz w:val="24"/>
              </w:rPr>
              <w:drawing>
                <wp:inline distT="0" distB="0" distL="0" distR="0">
                  <wp:extent cx="1666875" cy="2286000"/>
                  <wp:effectExtent l="19050" t="0" r="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9" cstate="print"/>
                          <a:stretch>
                            <a:fillRect/>
                          </a:stretch>
                        </pic:blipFill>
                        <pic:spPr>
                          <a:xfrm>
                            <a:off x="0" y="0"/>
                            <a:ext cx="1669344" cy="2289387"/>
                          </a:xfrm>
                          <a:prstGeom prst="rect">
                            <a:avLst/>
                          </a:prstGeom>
                          <a:noFill/>
                          <a:ln w="1">
                            <a:noFill/>
                          </a:ln>
                        </pic:spPr>
                      </pic:pic>
                    </a:graphicData>
                  </a:graphic>
                </wp:inline>
              </w:drawing>
            </w:r>
          </w:p>
          <w:p w14:paraId="6876ABC7">
            <w:pPr>
              <w:autoSpaceDE w:val="0"/>
              <w:autoSpaceDN w:val="0"/>
              <w:adjustRightInd w:val="0"/>
              <w:jc w:val="left"/>
              <w:rPr>
                <w:rFonts w:ascii="Arial" w:hAnsi="Arial" w:cs="Arial"/>
                <w:kern w:val="0"/>
                <w:sz w:val="24"/>
              </w:rPr>
            </w:pPr>
          </w:p>
        </w:tc>
      </w:tr>
      <w:tr w14:paraId="5A6E75B2">
        <w:tblPrEx>
          <w:tblCellMar>
            <w:top w:w="0" w:type="dxa"/>
            <w:left w:w="108" w:type="dxa"/>
            <w:bottom w:w="0" w:type="dxa"/>
            <w:right w:w="108" w:type="dxa"/>
          </w:tblCellMar>
        </w:tblPrEx>
        <w:trPr>
          <w:trHeight w:val="2944"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449EBE2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包1</w:t>
            </w:r>
          </w:p>
        </w:tc>
        <w:tc>
          <w:tcPr>
            <w:tcW w:w="915" w:type="dxa"/>
            <w:tcBorders>
              <w:top w:val="single" w:color="000000" w:sz="4" w:space="0"/>
              <w:left w:val="nil"/>
              <w:bottom w:val="single" w:color="000000" w:sz="4" w:space="0"/>
              <w:right w:val="single" w:color="000000" w:sz="4" w:space="0"/>
            </w:tcBorders>
            <w:vAlign w:val="center"/>
          </w:tcPr>
          <w:p w14:paraId="401CA97C">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1-10</w:t>
            </w:r>
          </w:p>
        </w:tc>
        <w:tc>
          <w:tcPr>
            <w:tcW w:w="1608" w:type="dxa"/>
            <w:tcBorders>
              <w:top w:val="single" w:color="000000" w:sz="4" w:space="0"/>
              <w:left w:val="nil"/>
              <w:bottom w:val="single" w:color="000000" w:sz="4" w:space="0"/>
              <w:right w:val="single" w:color="000000" w:sz="4" w:space="0"/>
            </w:tcBorders>
            <w:vAlign w:val="center"/>
          </w:tcPr>
          <w:p w14:paraId="68D356A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接待桌</w:t>
            </w:r>
          </w:p>
        </w:tc>
        <w:tc>
          <w:tcPr>
            <w:tcW w:w="5783" w:type="dxa"/>
            <w:tcBorders>
              <w:top w:val="single" w:color="000000" w:sz="4" w:space="0"/>
              <w:left w:val="nil"/>
              <w:bottom w:val="single" w:color="000000" w:sz="4" w:space="0"/>
              <w:right w:val="single" w:color="000000" w:sz="4" w:space="0"/>
            </w:tcBorders>
            <w:vAlign w:val="center"/>
          </w:tcPr>
          <w:p w14:paraId="2C55654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规格：</w:t>
            </w:r>
            <w:r>
              <w:rPr>
                <w:rFonts w:asciiTheme="minorEastAsia" w:hAnsiTheme="minorEastAsia" w:eastAsiaTheme="minorEastAsia" w:cstheme="minorEastAsia"/>
                <w:szCs w:val="21"/>
              </w:rPr>
              <w:t>800</w:t>
            </w:r>
            <w:r>
              <w:rPr>
                <w:rFonts w:hint="eastAsia" w:asciiTheme="minorEastAsia" w:hAnsiTheme="minorEastAsia" w:eastAsiaTheme="minorEastAsia" w:cstheme="minorEastAsia"/>
                <w:szCs w:val="21"/>
              </w:rPr>
              <w:t>W</w:t>
            </w:r>
            <w:r>
              <w:rPr>
                <w:rFonts w:asciiTheme="minorEastAsia" w:hAnsiTheme="minorEastAsia" w:eastAsiaTheme="minorEastAsia" w:cstheme="minorEastAsia"/>
                <w:szCs w:val="21"/>
              </w:rPr>
              <w:t>*800</w:t>
            </w:r>
            <w:r>
              <w:rPr>
                <w:rFonts w:hint="eastAsia" w:asciiTheme="minorEastAsia" w:hAnsiTheme="minorEastAsia" w:eastAsiaTheme="minorEastAsia" w:cstheme="minorEastAsia"/>
                <w:szCs w:val="21"/>
              </w:rPr>
              <w:t>D</w:t>
            </w:r>
            <w:r>
              <w:rPr>
                <w:rFonts w:asciiTheme="minorEastAsia" w:hAnsiTheme="minorEastAsia" w:eastAsiaTheme="minorEastAsia" w:cstheme="minorEastAsia"/>
                <w:szCs w:val="21"/>
              </w:rPr>
              <w:t>*700</w:t>
            </w:r>
            <w:r>
              <w:rPr>
                <w:rFonts w:hint="eastAsia" w:asciiTheme="minorEastAsia" w:hAnsiTheme="minorEastAsia" w:eastAsiaTheme="minorEastAsia" w:cstheme="minorEastAsia"/>
                <w:szCs w:val="21"/>
              </w:rPr>
              <w:t>H(mm)</w:t>
            </w:r>
            <w:r>
              <w:rPr>
                <w:rFonts w:hint="eastAsia" w:ascii="宋体" w:hAnsi="宋体" w:cs="宋体"/>
              </w:rPr>
              <w:t xml:space="preserve"> </w:t>
            </w:r>
          </w:p>
          <w:p w14:paraId="3F7273E0">
            <w:pPr>
              <w:pStyle w:val="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藤材采用天然藤，藤茎细长、坚韧、不易断、材质极好，采用现代制作工艺，经过紫外线照射、消毒、蒸汽高温处理，用机器把藤原料制成一定长短粗细的规格，使其表面光洁细腻，并具有防霉防蛀及环保的特点。油漆采用木器专用环保型PU聚脂漆。</w:t>
            </w:r>
          </w:p>
        </w:tc>
        <w:tc>
          <w:tcPr>
            <w:tcW w:w="800" w:type="dxa"/>
            <w:tcBorders>
              <w:top w:val="single" w:color="000000" w:sz="4" w:space="0"/>
              <w:left w:val="nil"/>
              <w:bottom w:val="single" w:color="000000" w:sz="4" w:space="0"/>
              <w:right w:val="single" w:color="000000" w:sz="4" w:space="0"/>
            </w:tcBorders>
            <w:vAlign w:val="center"/>
          </w:tcPr>
          <w:p w14:paraId="652ABE9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张</w:t>
            </w:r>
          </w:p>
        </w:tc>
        <w:tc>
          <w:tcPr>
            <w:tcW w:w="750" w:type="dxa"/>
            <w:tcBorders>
              <w:top w:val="single" w:color="000000" w:sz="4" w:space="0"/>
              <w:left w:val="nil"/>
              <w:bottom w:val="single" w:color="000000" w:sz="4" w:space="0"/>
              <w:right w:val="single" w:color="000000" w:sz="4" w:space="0"/>
            </w:tcBorders>
            <w:vAlign w:val="center"/>
          </w:tcPr>
          <w:p w14:paraId="286EB154">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w:t>
            </w:r>
          </w:p>
        </w:tc>
        <w:tc>
          <w:tcPr>
            <w:tcW w:w="1057" w:type="dxa"/>
            <w:tcBorders>
              <w:top w:val="single" w:color="000000" w:sz="4" w:space="0"/>
              <w:left w:val="nil"/>
              <w:bottom w:val="single" w:color="000000" w:sz="4" w:space="0"/>
              <w:right w:val="single" w:color="000000" w:sz="4" w:space="0"/>
            </w:tcBorders>
            <w:vAlign w:val="center"/>
          </w:tcPr>
          <w:p w14:paraId="3CE60FCF">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1000</w:t>
            </w:r>
          </w:p>
        </w:tc>
        <w:tc>
          <w:tcPr>
            <w:tcW w:w="1227" w:type="dxa"/>
            <w:tcBorders>
              <w:top w:val="single" w:color="000000" w:sz="4" w:space="0"/>
              <w:left w:val="nil"/>
              <w:bottom w:val="single" w:color="000000" w:sz="4" w:space="0"/>
              <w:right w:val="single" w:color="000000" w:sz="4" w:space="0"/>
            </w:tcBorders>
            <w:vAlign w:val="center"/>
          </w:tcPr>
          <w:p w14:paraId="0FF7984E">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1000</w:t>
            </w:r>
          </w:p>
        </w:tc>
        <w:tc>
          <w:tcPr>
            <w:tcW w:w="6897" w:type="dxa"/>
            <w:tcBorders>
              <w:top w:val="single" w:color="000000" w:sz="4" w:space="0"/>
              <w:left w:val="nil"/>
              <w:bottom w:val="single" w:color="000000" w:sz="4" w:space="0"/>
              <w:right w:val="single" w:color="000000" w:sz="4" w:space="0"/>
            </w:tcBorders>
            <w:vAlign w:val="center"/>
          </w:tcPr>
          <w:p w14:paraId="2ADC8DCE">
            <w:pPr>
              <w:jc w:val="center"/>
              <w:rPr>
                <w:rFonts w:ascii="Calibri" w:hAnsi="Calibri"/>
                <w:szCs w:val="21"/>
              </w:rPr>
            </w:pPr>
            <w:r>
              <w:rPr>
                <w:rFonts w:ascii="Calibri" w:hAnsi="Calibri"/>
                <w:szCs w:val="21"/>
              </w:rPr>
              <w:drawing>
                <wp:inline distT="0" distB="0" distL="0" distR="0">
                  <wp:extent cx="1352550" cy="1352550"/>
                  <wp:effectExtent l="19050" t="0" r="0" b="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20" cstate="print"/>
                          <a:stretch>
                            <a:fillRect/>
                          </a:stretch>
                        </pic:blipFill>
                        <pic:spPr>
                          <a:xfrm>
                            <a:off x="0" y="0"/>
                            <a:ext cx="1354985" cy="1354985"/>
                          </a:xfrm>
                          <a:prstGeom prst="rect">
                            <a:avLst/>
                          </a:prstGeom>
                          <a:noFill/>
                          <a:ln w="1">
                            <a:noFill/>
                          </a:ln>
                        </pic:spPr>
                      </pic:pic>
                    </a:graphicData>
                  </a:graphic>
                </wp:inline>
              </w:drawing>
            </w:r>
          </w:p>
        </w:tc>
      </w:tr>
    </w:tbl>
    <w:p w14:paraId="3EEA8D36">
      <w:pPr>
        <w:pStyle w:val="2"/>
        <w:rPr>
          <w:rStyle w:val="22"/>
          <w:rFonts w:cs="宋体" w:asciiTheme="minorEastAsia" w:hAnsiTheme="minorEastAsia" w:eastAsiaTheme="minorEastAsia"/>
        </w:rPr>
      </w:pPr>
      <w:r>
        <w:rPr>
          <w:rFonts w:hint="eastAsia" w:cs="Times New Roman" w:asciiTheme="minorEastAsia" w:hAnsiTheme="minorEastAsia" w:eastAsiaTheme="minorEastAsia"/>
          <w:bCs/>
          <w:color w:val="auto"/>
          <w:kern w:val="2"/>
        </w:rPr>
        <w:t>备注：1.</w:t>
      </w:r>
      <w:r>
        <w:rPr>
          <w:rStyle w:val="22"/>
          <w:rFonts w:hint="eastAsia" w:cs="宋体" w:asciiTheme="minorEastAsia" w:hAnsiTheme="minorEastAsia" w:eastAsiaTheme="minorEastAsia"/>
          <w:b w:val="0"/>
        </w:rPr>
        <w:t>上述货物规格（长×宽×高）外形尺寸允许</w:t>
      </w:r>
      <w:r>
        <w:rPr>
          <w:rFonts w:hint="eastAsia" w:cs="宋体" w:asciiTheme="minorEastAsia" w:hAnsiTheme="minorEastAsia" w:eastAsiaTheme="minorEastAsia"/>
        </w:rPr>
        <w:t>公差±</w:t>
      </w:r>
      <w:r>
        <w:rPr>
          <w:rFonts w:hint="eastAsia" w:cs="宋体" w:asciiTheme="minorEastAsia" w:hAnsiTheme="minorEastAsia" w:eastAsiaTheme="minorEastAsia"/>
          <w:color w:val="auto"/>
        </w:rPr>
        <w:t>10mm</w:t>
      </w:r>
      <w:r>
        <w:rPr>
          <w:rStyle w:val="22"/>
          <w:rFonts w:hint="eastAsia" w:cs="宋体" w:asciiTheme="minorEastAsia" w:hAnsiTheme="minorEastAsia" w:eastAsiaTheme="minorEastAsia"/>
          <w:b w:val="0"/>
        </w:rPr>
        <w:t>，厚度的偏差值+3mm。</w:t>
      </w:r>
    </w:p>
    <w:p w14:paraId="099A8D87">
      <w:pPr>
        <w:pStyle w:val="2"/>
        <w:ind w:firstLine="720" w:firstLineChars="300"/>
        <w:rPr>
          <w:rFonts w:cs="Times New Roman" w:asciiTheme="minorEastAsia" w:hAnsiTheme="minorEastAsia" w:eastAsiaTheme="minorEastAsia"/>
          <w:bCs/>
          <w:color w:val="auto"/>
          <w:kern w:val="2"/>
        </w:rPr>
      </w:pPr>
      <w:r>
        <w:rPr>
          <w:rFonts w:hint="eastAsia" w:cs="Times New Roman" w:asciiTheme="minorEastAsia" w:hAnsiTheme="minorEastAsia" w:eastAsiaTheme="minorEastAsia"/>
          <w:bCs/>
          <w:color w:val="auto"/>
          <w:kern w:val="2"/>
        </w:rPr>
        <w:t>2.包1的1-8、1-9需提供样品，</w:t>
      </w:r>
      <w:r>
        <w:rPr>
          <w:rFonts w:hint="eastAsia" w:cs="宋体" w:asciiTheme="minorEastAsia" w:hAnsiTheme="minorEastAsia" w:eastAsiaTheme="minorEastAsia"/>
          <w:color w:val="auto"/>
          <w:shd w:val="clear" w:color="auto" w:fill="FFFFFF"/>
        </w:rPr>
        <w:t>供应商须在递交响应文件截止前递交符合询价文件要求的样品，如</w:t>
      </w:r>
      <w:r>
        <w:rPr>
          <w:rFonts w:hint="eastAsia" w:cs="Times New Roman" w:asciiTheme="minorEastAsia" w:hAnsiTheme="minorEastAsia" w:eastAsiaTheme="minorEastAsia"/>
          <w:bCs/>
          <w:color w:val="auto"/>
          <w:kern w:val="2"/>
        </w:rPr>
        <w:t>样品不合格，将视为无效投标。</w:t>
      </w:r>
    </w:p>
    <w:p w14:paraId="266159E5">
      <w:pPr>
        <w:pStyle w:val="2"/>
        <w:ind w:firstLine="720" w:firstLineChars="300"/>
        <w:rPr>
          <w:rFonts w:cs="Times New Roman" w:asciiTheme="minorEastAsia" w:hAnsiTheme="minorEastAsia" w:eastAsiaTheme="minorEastAsia"/>
          <w:bCs/>
          <w:color w:val="auto"/>
          <w:kern w:val="2"/>
        </w:rPr>
      </w:pPr>
      <w:r>
        <w:rPr>
          <w:rFonts w:hint="eastAsia" w:cs="Times New Roman" w:asciiTheme="minorEastAsia" w:hAnsiTheme="minorEastAsia" w:eastAsiaTheme="minorEastAsia"/>
          <w:bCs/>
          <w:color w:val="auto"/>
          <w:kern w:val="2"/>
        </w:rPr>
        <w:t>3.</w:t>
      </w:r>
      <w:r>
        <w:rPr>
          <w:rFonts w:hint="eastAsia" w:asciiTheme="minorEastAsia" w:hAnsiTheme="minorEastAsia" w:eastAsiaTheme="minorEastAsia"/>
          <w:color w:val="auto"/>
        </w:rPr>
        <w:t xml:space="preserve"> 投标</w:t>
      </w:r>
      <w:r>
        <w:rPr>
          <w:rFonts w:hint="eastAsia" w:cs="Times New Roman" w:asciiTheme="minorEastAsia" w:hAnsiTheme="minorEastAsia" w:eastAsiaTheme="minorEastAsia"/>
          <w:bCs/>
          <w:color w:val="auto"/>
          <w:kern w:val="2"/>
        </w:rPr>
        <w:t>供应商需提供上述货物所使用的如下5种原辅材料</w:t>
      </w:r>
      <w:r>
        <w:rPr>
          <w:rFonts w:hint="eastAsia" w:cs="宋体" w:asciiTheme="minorEastAsia" w:hAnsiTheme="minorEastAsia" w:eastAsiaTheme="minorEastAsia"/>
          <w:bCs/>
          <w:color w:val="auto"/>
        </w:rPr>
        <w:t>第三方合格检测机构出具的合格检验报告原件供采购人审核</w:t>
      </w:r>
      <w:r>
        <w:rPr>
          <w:rFonts w:hint="eastAsia" w:cs="Times New Roman" w:asciiTheme="minorEastAsia" w:hAnsiTheme="minorEastAsia" w:eastAsiaTheme="minorEastAsia"/>
          <w:bCs/>
          <w:color w:val="auto"/>
          <w:kern w:val="2"/>
        </w:rPr>
        <w:t>(出具时间2019年1月1日以来)，检测（验）报告中被检或送检单位名称须与投标供应商名称一致，且检验结论须为符合或达到相关规定的，未提供或提供不全的不推荐为成交供应商。</w:t>
      </w:r>
    </w:p>
    <w:p w14:paraId="0A84AFF7">
      <w:pPr>
        <w:pStyle w:val="2"/>
        <w:ind w:firstLine="840" w:firstLineChars="350"/>
        <w:rPr>
          <w:rFonts w:cs="Times New Roman" w:asciiTheme="minorEastAsia" w:hAnsiTheme="minorEastAsia" w:eastAsiaTheme="minorEastAsia"/>
          <w:bCs/>
          <w:color w:val="auto"/>
          <w:kern w:val="2"/>
        </w:rPr>
      </w:pPr>
      <w:r>
        <w:rPr>
          <w:rFonts w:hint="eastAsia" w:cs="Times New Roman" w:asciiTheme="minorEastAsia" w:hAnsiTheme="minorEastAsia" w:eastAsiaTheme="minorEastAsia"/>
          <w:bCs/>
          <w:color w:val="auto"/>
          <w:kern w:val="2"/>
        </w:rPr>
        <w:t>3.1 中纤板（中密度纤维板）：符合标准GB/T 11718-2009 《中密度纤维板》，含水率≤8.5%，静曲强度≥26.0MPa，吸水厚度膨胀率≤9MPa。</w:t>
      </w:r>
    </w:p>
    <w:p w14:paraId="4E1B1413">
      <w:pPr>
        <w:pStyle w:val="2"/>
        <w:ind w:firstLine="840" w:firstLineChars="350"/>
        <w:rPr>
          <w:rFonts w:cs="Times New Roman" w:asciiTheme="minorEastAsia" w:hAnsiTheme="minorEastAsia" w:eastAsiaTheme="minorEastAsia"/>
          <w:bCs/>
          <w:color w:val="auto"/>
          <w:kern w:val="2"/>
        </w:rPr>
      </w:pPr>
      <w:r>
        <w:rPr>
          <w:rFonts w:hint="eastAsia" w:cs="Times New Roman" w:asciiTheme="minorEastAsia" w:hAnsiTheme="minorEastAsia" w:eastAsiaTheme="minorEastAsia"/>
          <w:bCs/>
          <w:color w:val="auto"/>
          <w:kern w:val="2"/>
        </w:rPr>
        <w:t>3.2 白乳胶：符合标准GB18583-2008《室内装饰装修材料粘胶剂中有害物质限量》，游离甲醛含量≤0.1g/kg，苯含量≤0.02g/kg、甲苯+二甲苯含量≤0.02g/kg。</w:t>
      </w:r>
    </w:p>
    <w:p w14:paraId="6AB0B21C">
      <w:pPr>
        <w:pStyle w:val="2"/>
        <w:ind w:firstLine="840" w:firstLineChars="350"/>
        <w:rPr>
          <w:rFonts w:cs="Times New Roman" w:asciiTheme="minorEastAsia" w:hAnsiTheme="minorEastAsia" w:eastAsiaTheme="minorEastAsia"/>
          <w:bCs/>
          <w:color w:val="auto"/>
          <w:kern w:val="2"/>
        </w:rPr>
      </w:pPr>
      <w:r>
        <w:rPr>
          <w:rFonts w:hint="eastAsia" w:cs="Times New Roman" w:asciiTheme="minorEastAsia" w:hAnsiTheme="minorEastAsia" w:eastAsiaTheme="minorEastAsia"/>
          <w:bCs/>
          <w:color w:val="auto"/>
          <w:kern w:val="2"/>
        </w:rPr>
        <w:t>3.3 封边条：符合标准QB/T4463-2013《家具用封边条技术要求》，甲醛释放量≤0.1mg/L。</w:t>
      </w:r>
    </w:p>
    <w:p w14:paraId="2231F9A7">
      <w:pPr>
        <w:pStyle w:val="2"/>
        <w:ind w:firstLine="840" w:firstLineChars="350"/>
        <w:rPr>
          <w:rFonts w:cs="Times New Roman" w:asciiTheme="minorEastAsia" w:hAnsiTheme="minorEastAsia" w:eastAsiaTheme="minorEastAsia"/>
          <w:bCs/>
          <w:color w:val="auto"/>
          <w:kern w:val="2"/>
        </w:rPr>
      </w:pPr>
      <w:r>
        <w:rPr>
          <w:rFonts w:hint="eastAsia" w:cs="Times New Roman" w:asciiTheme="minorEastAsia" w:hAnsiTheme="minorEastAsia" w:eastAsiaTheme="minorEastAsia"/>
          <w:bCs/>
          <w:color w:val="auto"/>
          <w:kern w:val="2"/>
        </w:rPr>
        <w:t>3.4 铰链：符合标准QB/T 2189-2013《家具五金杯状暗铰链》，下沉量≤2.0mm.</w:t>
      </w:r>
    </w:p>
    <w:p w14:paraId="50DBCB65">
      <w:pPr>
        <w:pStyle w:val="2"/>
        <w:ind w:firstLine="840" w:firstLineChars="350"/>
        <w:rPr>
          <w:rFonts w:cs="Times New Roman" w:asciiTheme="minorEastAsia" w:hAnsiTheme="minorEastAsia" w:eastAsiaTheme="minorEastAsia"/>
          <w:bCs/>
          <w:color w:val="auto"/>
          <w:kern w:val="2"/>
        </w:rPr>
      </w:pPr>
      <w:r>
        <w:rPr>
          <w:rFonts w:hint="eastAsia" w:cs="Times New Roman" w:asciiTheme="minorEastAsia" w:hAnsiTheme="minorEastAsia" w:eastAsiaTheme="minorEastAsia"/>
          <w:bCs/>
          <w:color w:val="auto"/>
          <w:kern w:val="2"/>
        </w:rPr>
        <w:t>3.5 导轨：符合标准QB/T2454-2013《家具五金抽屉导轨》，下沉量≤2.0%。</w:t>
      </w:r>
    </w:p>
    <w:p w14:paraId="2BE38467">
      <w:pPr>
        <w:pStyle w:val="2"/>
        <w:rPr>
          <w:rFonts w:cs="Times New Roman" w:asciiTheme="minorEastAsia" w:hAnsiTheme="minorEastAsia" w:eastAsiaTheme="minorEastAsia"/>
          <w:bCs/>
          <w:color w:val="auto"/>
          <w:kern w:val="2"/>
        </w:rPr>
        <w:sectPr>
          <w:pgSz w:w="23757" w:h="16783" w:orient="landscape"/>
          <w:pgMar w:top="1247" w:right="1134" w:bottom="1134" w:left="851" w:header="567" w:footer="567" w:gutter="0"/>
          <w:cols w:space="720" w:num="1"/>
          <w:docGrid w:type="lines" w:linePitch="312" w:charSpace="0"/>
        </w:sectPr>
      </w:pPr>
    </w:p>
    <w:bookmarkEnd w:id="47"/>
    <w:bookmarkEnd w:id="48"/>
    <w:bookmarkEnd w:id="49"/>
    <w:p w14:paraId="4658CAF5">
      <w:pPr>
        <w:pStyle w:val="2"/>
        <w:rPr>
          <w:rFonts w:ascii="宋体" w:hAnsi="宋体"/>
          <w:b/>
          <w:color w:val="auto"/>
        </w:rPr>
      </w:pPr>
      <w:bookmarkStart w:id="50" w:name="_Toc358109805"/>
      <w:bookmarkStart w:id="51" w:name="_Toc394319916"/>
      <w:bookmarkStart w:id="52" w:name="_Toc416379639"/>
      <w:bookmarkStart w:id="53" w:name="_Toc425276504"/>
      <w:bookmarkStart w:id="54" w:name="_Toc478753855"/>
      <w:bookmarkStart w:id="55" w:name="_Toc57451666"/>
      <w:bookmarkStart w:id="56" w:name="_Toc34"/>
      <w:bookmarkStart w:id="57" w:name="_Toc1931"/>
      <w:r>
        <w:rPr>
          <w:rFonts w:hint="eastAsia" w:ascii="宋体" w:hAnsi="宋体" w:eastAsia="宋体" w:cs="Times New Roman"/>
          <w:b/>
          <w:color w:val="auto"/>
        </w:rPr>
        <w:t>二、售后服务要求</w:t>
      </w:r>
    </w:p>
    <w:p w14:paraId="1C38A27B">
      <w:pPr>
        <w:spacing w:line="440" w:lineRule="exact"/>
        <w:ind w:firstLine="480" w:firstLineChars="200"/>
        <w:rPr>
          <w:rFonts w:hAnsi="宋体"/>
          <w:sz w:val="24"/>
        </w:rPr>
      </w:pPr>
      <w:r>
        <w:rPr>
          <w:rFonts w:hint="eastAsia" w:hAnsi="宋体"/>
          <w:sz w:val="24"/>
        </w:rPr>
        <w:t>（一）投标人对提供的货物或服务，因产品及服务质量、或知识产权纠纷等问题，必须提供保修、包换、包退等服务。</w:t>
      </w:r>
    </w:p>
    <w:p w14:paraId="14D628FF">
      <w:pPr>
        <w:spacing w:line="440" w:lineRule="exact"/>
        <w:ind w:firstLine="480" w:firstLineChars="200"/>
        <w:rPr>
          <w:rFonts w:hAnsi="宋体"/>
          <w:sz w:val="24"/>
        </w:rPr>
      </w:pPr>
      <w:r>
        <w:rPr>
          <w:rFonts w:hint="eastAsia" w:hAnsi="宋体"/>
          <w:sz w:val="24"/>
        </w:rPr>
        <w:t>（二）货物安装调试合格后，投标人负责对采购人技术人员进行免费现场培训，培训内容包括系统的功能、原理、使用与维护等，培训日程视实际情况另定。</w:t>
      </w:r>
    </w:p>
    <w:p w14:paraId="6003F75F">
      <w:pPr>
        <w:spacing w:line="440" w:lineRule="exact"/>
        <w:ind w:firstLine="480" w:firstLineChars="200"/>
        <w:rPr>
          <w:rFonts w:hAnsi="宋体"/>
          <w:sz w:val="24"/>
        </w:rPr>
      </w:pPr>
      <w:r>
        <w:rPr>
          <w:rFonts w:hint="eastAsia" w:hAnsi="宋体"/>
          <w:sz w:val="24"/>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07583D82">
      <w:pPr>
        <w:spacing w:line="440" w:lineRule="exact"/>
        <w:ind w:firstLine="480" w:firstLineChars="200"/>
        <w:rPr>
          <w:rFonts w:hAnsi="宋体"/>
          <w:sz w:val="24"/>
        </w:rPr>
      </w:pPr>
      <w:r>
        <w:rPr>
          <w:rFonts w:hint="eastAsia" w:hAnsi="宋体"/>
          <w:sz w:val="24"/>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26B7B0DD">
      <w:pPr>
        <w:spacing w:line="440" w:lineRule="exact"/>
        <w:ind w:firstLine="480" w:firstLineChars="200"/>
        <w:rPr>
          <w:rFonts w:hAnsi="宋体"/>
          <w:sz w:val="24"/>
        </w:rPr>
      </w:pPr>
      <w:r>
        <w:rPr>
          <w:rFonts w:hint="eastAsia" w:hAnsi="宋体"/>
          <w:sz w:val="24"/>
        </w:rPr>
        <w:t>（五）质保期结束后，投标人需提供终身应用咨询、技术帮助及维护，做到终身维保；货物一旦出现故障，投标人需协助采购人对货物进行维修，远程不能解决的，投标人需派出技术人员2个工作日内到现场进行维修，只收取人员差旅费，对设备故障需要更换的配件以成本价提供。</w:t>
      </w:r>
    </w:p>
    <w:p w14:paraId="5416F0B1">
      <w:pPr>
        <w:spacing w:line="440" w:lineRule="exact"/>
        <w:rPr>
          <w:rFonts w:ascii="宋体" w:hAnsi="宋体"/>
          <w:b/>
          <w:bCs/>
          <w:sz w:val="24"/>
        </w:rPr>
      </w:pPr>
      <w:r>
        <w:rPr>
          <w:rFonts w:hint="eastAsia" w:ascii="宋体" w:hAnsi="宋体"/>
          <w:b/>
          <w:bCs/>
          <w:sz w:val="24"/>
        </w:rPr>
        <w:t>三、项目验收</w:t>
      </w:r>
    </w:p>
    <w:bookmarkEnd w:id="50"/>
    <w:bookmarkEnd w:id="51"/>
    <w:p w14:paraId="13A53917">
      <w:pPr>
        <w:spacing w:line="440" w:lineRule="exact"/>
        <w:ind w:firstLine="480" w:firstLineChars="200"/>
        <w:rPr>
          <w:rFonts w:hAnsi="宋体"/>
          <w:sz w:val="24"/>
        </w:rPr>
      </w:pPr>
      <w:bookmarkStart w:id="58" w:name="_Toc430269118"/>
      <w:bookmarkStart w:id="59" w:name="_Toc358109807"/>
      <w:bookmarkStart w:id="60" w:name="_Toc285393068"/>
      <w:bookmarkStart w:id="61" w:name="_Toc430269287"/>
      <w:bookmarkStart w:id="62" w:name="_Toc394319918"/>
      <w:bookmarkStart w:id="63" w:name="_Toc491700052"/>
      <w:bookmarkStart w:id="64" w:name="_Toc394319917"/>
      <w:bookmarkStart w:id="65" w:name="_Toc358109806"/>
      <w:r>
        <w:rPr>
          <w:rFonts w:hint="eastAsia" w:hAnsi="宋体"/>
          <w:sz w:val="24"/>
        </w:rPr>
        <w:t>（一）验收标准</w:t>
      </w:r>
    </w:p>
    <w:p w14:paraId="25A8C711">
      <w:pPr>
        <w:spacing w:line="440" w:lineRule="exact"/>
        <w:ind w:firstLine="480" w:firstLineChars="200"/>
        <w:rPr>
          <w:rFonts w:hAnsi="宋体"/>
          <w:sz w:val="24"/>
        </w:rPr>
      </w:pPr>
      <w:r>
        <w:rPr>
          <w:rFonts w:hint="eastAsia" w:hAnsi="宋体"/>
          <w:sz w:val="24"/>
        </w:rPr>
        <w:t>按厂家设备验收标准(符合国家或行业或地方标准)、招标文件、投标文件、合同等相关文件执行。验收结果应符合采购人使用要求。</w:t>
      </w:r>
    </w:p>
    <w:p w14:paraId="24EE739B">
      <w:pPr>
        <w:spacing w:line="440" w:lineRule="exact"/>
        <w:ind w:firstLine="480" w:firstLineChars="200"/>
        <w:rPr>
          <w:rFonts w:hAnsi="宋体"/>
          <w:sz w:val="24"/>
        </w:rPr>
      </w:pPr>
      <w:r>
        <w:rPr>
          <w:rFonts w:hint="eastAsia" w:hAnsi="宋体"/>
          <w:sz w:val="24"/>
        </w:rPr>
        <w:t>（二）验收程序</w:t>
      </w:r>
    </w:p>
    <w:p w14:paraId="0924026D">
      <w:pPr>
        <w:spacing w:line="440" w:lineRule="exact"/>
        <w:ind w:firstLine="480" w:firstLineChars="200"/>
        <w:rPr>
          <w:rFonts w:hAnsi="宋体"/>
          <w:sz w:val="24"/>
        </w:rPr>
      </w:pPr>
      <w:r>
        <w:rPr>
          <w:rFonts w:hint="eastAsia" w:hAnsi="宋体"/>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3B200D35">
      <w:pPr>
        <w:spacing w:line="440" w:lineRule="exact"/>
        <w:ind w:firstLine="480" w:firstLineChars="200"/>
        <w:rPr>
          <w:rFonts w:hAnsi="宋体"/>
          <w:sz w:val="24"/>
        </w:rPr>
      </w:pPr>
      <w:r>
        <w:rPr>
          <w:rFonts w:hint="eastAsia" w:hAnsi="宋体"/>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109DD86C">
      <w:pPr>
        <w:spacing w:line="440" w:lineRule="exact"/>
        <w:ind w:firstLine="480" w:firstLineChars="200"/>
        <w:rPr>
          <w:rFonts w:hAnsi="宋体"/>
          <w:b/>
          <w:bCs/>
          <w:sz w:val="24"/>
        </w:rPr>
      </w:pPr>
      <w:r>
        <w:rPr>
          <w:rFonts w:hint="eastAsia" w:hAnsi="宋体"/>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787692D2">
      <w:pPr>
        <w:spacing w:line="440" w:lineRule="exact"/>
        <w:rPr>
          <w:rFonts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58"/>
    <w:bookmarkEnd w:id="59"/>
    <w:bookmarkEnd w:id="60"/>
    <w:bookmarkEnd w:id="61"/>
    <w:bookmarkEnd w:id="62"/>
    <w:bookmarkEnd w:id="63"/>
    <w:p w14:paraId="4FDA4736">
      <w:pPr>
        <w:spacing w:line="440" w:lineRule="exact"/>
        <w:ind w:firstLine="480" w:firstLineChars="200"/>
        <w:rPr>
          <w:rFonts w:hAnsi="宋体"/>
          <w:b/>
          <w:bCs/>
          <w:sz w:val="24"/>
        </w:rPr>
      </w:pPr>
      <w:bookmarkStart w:id="66"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6F68F40B">
      <w:pPr>
        <w:spacing w:line="440" w:lineRule="exact"/>
        <w:ind w:firstLine="480" w:firstLineChars="200"/>
        <w:rPr>
          <w:rFonts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30369949">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67DD1C78">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中华人民共和国劳动法》的规定用工，签订用工劳务合同，并按规定为工人购买人身意外保险及相关的劳动保险，承包期间发生的一切安全责任事故及造成第三者伤害责任的，均由成交供应商承担。</w:t>
      </w:r>
    </w:p>
    <w:p w14:paraId="4F83DC9B">
      <w:pPr>
        <w:spacing w:line="440" w:lineRule="exact"/>
        <w:rPr>
          <w:rFonts w:ascii="宋体" w:hAnsi="宋体"/>
          <w:b/>
          <w:kern w:val="0"/>
          <w:sz w:val="24"/>
        </w:rPr>
      </w:pPr>
      <w:r>
        <w:rPr>
          <w:rFonts w:hint="eastAsia" w:ascii="宋体" w:hAnsi="宋体"/>
          <w:b/>
          <w:kern w:val="0"/>
          <w:sz w:val="24"/>
        </w:rPr>
        <w:t>五、交货地点及时间</w:t>
      </w:r>
    </w:p>
    <w:p w14:paraId="6237740F">
      <w:pPr>
        <w:pStyle w:val="2"/>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交货地点：福建省泉州市丰泽区东海大街398号泉州师范学院图书馆。</w:t>
      </w:r>
    </w:p>
    <w:p w14:paraId="1ABAC134">
      <w:pPr>
        <w:spacing w:line="440" w:lineRule="exact"/>
        <w:ind w:firstLine="482" w:firstLineChars="200"/>
        <w:rPr>
          <w:rFonts w:ascii="宋体" w:hAnsi="宋体"/>
          <w:b/>
          <w:kern w:val="0"/>
          <w:sz w:val="24"/>
        </w:rPr>
      </w:pPr>
      <w:r>
        <w:rPr>
          <w:rFonts w:hint="eastAsia" w:ascii="宋体" w:hAnsi="宋体"/>
          <w:b/>
          <w:kern w:val="0"/>
          <w:sz w:val="24"/>
        </w:rPr>
        <w:t>交货时间：2023年1月31日前。</w:t>
      </w:r>
    </w:p>
    <w:p w14:paraId="58868CAE">
      <w:pPr>
        <w:spacing w:line="440" w:lineRule="exact"/>
        <w:rPr>
          <w:rFonts w:ascii="宋体" w:hAnsi="宋体"/>
          <w:b/>
          <w:kern w:val="0"/>
          <w:sz w:val="24"/>
        </w:rPr>
      </w:pPr>
      <w:r>
        <w:rPr>
          <w:rFonts w:hint="eastAsia" w:ascii="宋体" w:hAnsi="宋体"/>
          <w:b/>
          <w:kern w:val="0"/>
          <w:sz w:val="24"/>
        </w:rPr>
        <w:t>六</w:t>
      </w:r>
      <w:r>
        <w:rPr>
          <w:rFonts w:ascii="宋体" w:hAnsi="宋体"/>
          <w:b/>
          <w:kern w:val="0"/>
          <w:sz w:val="24"/>
        </w:rPr>
        <w:t>、付款方式</w:t>
      </w:r>
    </w:p>
    <w:bookmarkEnd w:id="52"/>
    <w:bookmarkEnd w:id="53"/>
    <w:bookmarkEnd w:id="54"/>
    <w:bookmarkEnd w:id="55"/>
    <w:bookmarkEnd w:id="64"/>
    <w:bookmarkEnd w:id="65"/>
    <w:bookmarkEnd w:id="66"/>
    <w:p w14:paraId="148B81DA">
      <w:pPr>
        <w:spacing w:line="440" w:lineRule="exact"/>
        <w:ind w:firstLine="480" w:firstLineChars="200"/>
        <w:rPr>
          <w:rFonts w:cs="宋体" w:asciiTheme="minorEastAsia" w:hAnsiTheme="minorEastAsia" w:eastAsiaTheme="minorEastAsia"/>
          <w:sz w:val="24"/>
        </w:rPr>
      </w:pPr>
      <w:r>
        <w:rPr>
          <w:rFonts w:hint="eastAsia" w:ascii="宋体" w:hAnsi="宋体" w:cs="宋体"/>
          <w:sz w:val="24"/>
        </w:rPr>
        <w:t>在合同签订后，中标供应商提交银行出具的预付款保函或启用我校指定银行的三方共管账户后，我校支付合同总价100%的预付款。预付款保函的有效期需在采购项目验收合格日期之后；启用我校指定银行的三方共管账户，采购项目经验收合格后，中标供应商从三方共管账户支取款项。</w:t>
      </w:r>
      <w:r>
        <w:rPr>
          <w:rFonts w:hint="eastAsia" w:cs="宋体" w:asciiTheme="minorEastAsia" w:hAnsiTheme="minorEastAsia" w:eastAsiaTheme="minorEastAsia"/>
          <w:sz w:val="24"/>
        </w:rPr>
        <w:t>中标供应商应在签订合同前向采购人缴纳合同金额3%的履约保证金，该保证金在中标供应商供应的货物全部验收合格，合同约定事项全部履行完毕且无未了事项后，30日内一次性无息退还。</w:t>
      </w:r>
    </w:p>
    <w:p w14:paraId="55B1E868">
      <w:pPr>
        <w:spacing w:line="440" w:lineRule="exact"/>
        <w:rPr>
          <w:rFonts w:ascii="宋体" w:hAnsi="宋体"/>
          <w:kern w:val="0"/>
          <w:sz w:val="24"/>
        </w:rPr>
      </w:pPr>
      <w:r>
        <w:rPr>
          <w:rFonts w:hint="eastAsia" w:ascii="宋体" w:hAnsi="宋体"/>
          <w:b/>
          <w:kern w:val="0"/>
          <w:sz w:val="24"/>
        </w:rPr>
        <w:t>七、知识产权</w:t>
      </w:r>
    </w:p>
    <w:p w14:paraId="541B6546">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6696AFEE">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66CA264A">
      <w:pPr>
        <w:spacing w:line="440" w:lineRule="exact"/>
        <w:rPr>
          <w:rFonts w:ascii="宋体" w:hAnsi="宋体"/>
          <w:b/>
          <w:sz w:val="24"/>
        </w:rPr>
      </w:pPr>
      <w:r>
        <w:rPr>
          <w:rFonts w:hint="eastAsia" w:ascii="宋体" w:hAnsi="宋体"/>
          <w:b/>
          <w:sz w:val="24"/>
        </w:rPr>
        <w:t>八、违约责任</w:t>
      </w:r>
    </w:p>
    <w:p w14:paraId="4F46F822">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03D1AC75">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24A35326">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40DCE32F">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5AE8366A">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4D8A5B5F">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380E4BC9">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（7）因采购人原因导致成交供应商未能按合同约定履行的，成交供应商可免于承担违约责任。</w:t>
      </w:r>
    </w:p>
    <w:p w14:paraId="21FDC15C">
      <w:pPr>
        <w:pStyle w:val="4"/>
        <w:spacing w:line="440" w:lineRule="exact"/>
        <w:jc w:val="left"/>
        <w:rPr>
          <w:rFonts w:ascii="宋体" w:hAnsi="宋体" w:eastAsia="宋体"/>
          <w:sz w:val="24"/>
        </w:rPr>
      </w:pPr>
    </w:p>
    <w:p w14:paraId="63811891">
      <w:pPr>
        <w:pStyle w:val="4"/>
        <w:spacing w:line="440" w:lineRule="exact"/>
        <w:jc w:val="left"/>
        <w:rPr>
          <w:rFonts w:ascii="宋体" w:hAnsi="宋体" w:eastAsia="宋体"/>
          <w:sz w:val="24"/>
        </w:rPr>
      </w:pPr>
    </w:p>
    <w:p w14:paraId="40767F12">
      <w:pPr>
        <w:pStyle w:val="4"/>
        <w:spacing w:line="440" w:lineRule="exact"/>
        <w:jc w:val="left"/>
        <w:rPr>
          <w:rFonts w:ascii="宋体" w:hAnsi="宋体" w:eastAsia="宋体"/>
          <w:sz w:val="24"/>
        </w:rPr>
      </w:pPr>
    </w:p>
    <w:bookmarkEnd w:id="56"/>
    <w:bookmarkEnd w:id="57"/>
    <w:p w14:paraId="104DCA02">
      <w:pPr>
        <w:pStyle w:val="18"/>
        <w:ind w:firstLine="210"/>
      </w:pPr>
    </w:p>
    <w:p w14:paraId="014C18C3">
      <w:pPr>
        <w:pStyle w:val="3"/>
        <w:spacing w:before="120" w:after="120" w:line="400" w:lineRule="exact"/>
        <w:jc w:val="center"/>
        <w:rPr>
          <w:rFonts w:ascii="宋体" w:hAnsi="宋体" w:eastAsia="宋体"/>
          <w:szCs w:val="32"/>
        </w:rPr>
      </w:pPr>
      <w:bookmarkStart w:id="67" w:name="_Toc1683"/>
      <w:r>
        <w:rPr>
          <w:rFonts w:hint="eastAsia" w:ascii="宋体" w:hAnsi="宋体" w:eastAsia="宋体"/>
          <w:szCs w:val="32"/>
        </w:rPr>
        <w:br w:type="page"/>
      </w:r>
      <w:bookmarkStart w:id="68" w:name="_Toc29063"/>
      <w:bookmarkStart w:id="69" w:name="_Toc25197"/>
      <w:r>
        <w:rPr>
          <w:rFonts w:hint="eastAsia" w:ascii="宋体" w:hAnsi="宋体" w:eastAsia="宋体"/>
          <w:szCs w:val="32"/>
        </w:rPr>
        <w:t>第四部分    报价文件格式</w:t>
      </w:r>
      <w:bookmarkEnd w:id="67"/>
      <w:bookmarkEnd w:id="68"/>
      <w:bookmarkEnd w:id="69"/>
    </w:p>
    <w:p w14:paraId="72666478">
      <w:pPr>
        <w:spacing w:line="360" w:lineRule="auto"/>
        <w:rPr>
          <w:rFonts w:ascii="宋体" w:hAnsi="宋体"/>
          <w:b/>
          <w:sz w:val="28"/>
          <w:szCs w:val="28"/>
        </w:rPr>
      </w:pPr>
    </w:p>
    <w:p w14:paraId="7C95A816">
      <w:pPr>
        <w:spacing w:line="360" w:lineRule="auto"/>
        <w:jc w:val="center"/>
        <w:rPr>
          <w:rFonts w:ascii="宋体" w:hAnsi="宋体"/>
          <w:b/>
          <w:sz w:val="72"/>
        </w:rPr>
      </w:pPr>
    </w:p>
    <w:p w14:paraId="6A848E59">
      <w:pPr>
        <w:spacing w:line="360" w:lineRule="auto"/>
        <w:jc w:val="center"/>
        <w:rPr>
          <w:rFonts w:ascii="宋体" w:hAnsi="宋体"/>
          <w:b/>
          <w:sz w:val="84"/>
          <w:szCs w:val="84"/>
        </w:rPr>
      </w:pPr>
      <w:r>
        <w:rPr>
          <w:rFonts w:hint="eastAsia" w:ascii="宋体" w:hAnsi="宋体"/>
          <w:b/>
          <w:sz w:val="84"/>
          <w:szCs w:val="84"/>
        </w:rPr>
        <w:t>报价响应文件</w:t>
      </w:r>
    </w:p>
    <w:p w14:paraId="3274FE6B">
      <w:pPr>
        <w:spacing w:line="360" w:lineRule="auto"/>
        <w:jc w:val="center"/>
        <w:rPr>
          <w:rFonts w:ascii="宋体" w:hAnsi="宋体"/>
          <w:b/>
          <w:sz w:val="36"/>
        </w:rPr>
      </w:pPr>
    </w:p>
    <w:p w14:paraId="4A4345B5">
      <w:pPr>
        <w:spacing w:line="360" w:lineRule="auto"/>
        <w:jc w:val="center"/>
        <w:rPr>
          <w:rFonts w:ascii="宋体" w:hAnsi="宋体"/>
          <w:b/>
          <w:sz w:val="36"/>
        </w:rPr>
      </w:pPr>
    </w:p>
    <w:p w14:paraId="25ADCFD0">
      <w:pPr>
        <w:spacing w:line="360" w:lineRule="auto"/>
        <w:jc w:val="center"/>
        <w:rPr>
          <w:rFonts w:ascii="宋体" w:hAnsi="宋体"/>
          <w:b/>
          <w:sz w:val="36"/>
        </w:rPr>
      </w:pPr>
    </w:p>
    <w:p w14:paraId="6B84BC3D">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0F6BCC06">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6853C3B9">
      <w:pPr>
        <w:spacing w:line="360" w:lineRule="auto"/>
        <w:rPr>
          <w:rFonts w:ascii="宋体" w:hAnsi="宋体"/>
          <w:sz w:val="28"/>
          <w:szCs w:val="28"/>
        </w:rPr>
      </w:pPr>
    </w:p>
    <w:p w14:paraId="2EE8E343">
      <w:pPr>
        <w:pStyle w:val="16"/>
      </w:pPr>
    </w:p>
    <w:p w14:paraId="5C4797A7">
      <w:pPr>
        <w:spacing w:line="360" w:lineRule="auto"/>
        <w:rPr>
          <w:rFonts w:ascii="宋体" w:hAnsi="宋体"/>
          <w:b/>
          <w:sz w:val="36"/>
        </w:rPr>
      </w:pPr>
    </w:p>
    <w:p w14:paraId="4B0C88E5">
      <w:pPr>
        <w:pStyle w:val="16"/>
      </w:pPr>
    </w:p>
    <w:p w14:paraId="13017214">
      <w:pPr>
        <w:spacing w:line="360" w:lineRule="auto"/>
        <w:rPr>
          <w:rFonts w:ascii="宋体" w:hAnsi="宋体"/>
          <w:b/>
          <w:sz w:val="36"/>
        </w:rPr>
      </w:pPr>
    </w:p>
    <w:p w14:paraId="461ECC56">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17E5F594">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4AE1E9C2">
      <w:pPr>
        <w:widowControl/>
        <w:spacing w:line="400" w:lineRule="exact"/>
        <w:ind w:firstLine="5600" w:firstLineChars="2000"/>
        <w:rPr>
          <w:rFonts w:ascii="宋体" w:hAnsi="宋体" w:cs="宋体"/>
          <w:kern w:val="0"/>
          <w:sz w:val="28"/>
          <w:szCs w:val="28"/>
          <w:shd w:val="clear" w:color="auto" w:fill="FFFFFF"/>
        </w:rPr>
      </w:pPr>
    </w:p>
    <w:p w14:paraId="3A8AA7AF">
      <w:pPr>
        <w:widowControl/>
        <w:spacing w:line="400" w:lineRule="exact"/>
        <w:ind w:firstLine="5600" w:firstLineChars="2000"/>
        <w:rPr>
          <w:rFonts w:ascii="宋体" w:hAnsi="宋体" w:cs="宋体"/>
          <w:kern w:val="0"/>
          <w:sz w:val="28"/>
          <w:szCs w:val="28"/>
          <w:shd w:val="clear" w:color="auto" w:fill="FFFFFF"/>
        </w:rPr>
      </w:pPr>
    </w:p>
    <w:p w14:paraId="1AB4333D">
      <w:pPr>
        <w:widowControl/>
        <w:spacing w:line="400" w:lineRule="exact"/>
        <w:ind w:firstLine="5600" w:firstLineChars="2000"/>
        <w:rPr>
          <w:rFonts w:ascii="宋体" w:hAnsi="宋体" w:cs="宋体"/>
          <w:kern w:val="0"/>
          <w:sz w:val="28"/>
          <w:szCs w:val="28"/>
          <w:shd w:val="clear" w:color="auto" w:fill="FFFFFF"/>
        </w:rPr>
      </w:pPr>
    </w:p>
    <w:p w14:paraId="68857B11">
      <w:pPr>
        <w:pStyle w:val="16"/>
      </w:pPr>
    </w:p>
    <w:p w14:paraId="310E61E1"/>
    <w:p w14:paraId="0D5B3D94">
      <w:pPr>
        <w:widowControl/>
        <w:spacing w:line="400" w:lineRule="exact"/>
        <w:ind w:firstLine="5600" w:firstLineChars="2000"/>
        <w:rPr>
          <w:rFonts w:ascii="宋体" w:hAnsi="宋体" w:cs="宋体"/>
          <w:kern w:val="0"/>
          <w:sz w:val="28"/>
          <w:szCs w:val="28"/>
          <w:shd w:val="clear" w:color="auto" w:fill="FFFFFF"/>
        </w:rPr>
      </w:pPr>
    </w:p>
    <w:p w14:paraId="537A978B">
      <w:pPr>
        <w:spacing w:line="440" w:lineRule="exact"/>
        <w:outlineLvl w:val="0"/>
        <w:rPr>
          <w:rFonts w:ascii="宋体" w:hAnsi="宋体" w:cs="宋体"/>
          <w:sz w:val="28"/>
          <w:szCs w:val="28"/>
        </w:rPr>
      </w:pPr>
      <w:bookmarkStart w:id="70" w:name="_Toc12112"/>
      <w:bookmarkStart w:id="71" w:name="_Toc1376"/>
      <w:bookmarkStart w:id="72" w:name="_Toc14215"/>
      <w:bookmarkStart w:id="73" w:name="_Toc29646"/>
      <w:bookmarkStart w:id="74" w:name="_Toc432513145"/>
      <w:bookmarkStart w:id="75" w:name="_Toc1606"/>
      <w:bookmarkStart w:id="76" w:name="_Toc373141305"/>
      <w:bookmarkStart w:id="77" w:name="_Toc502907889"/>
      <w:bookmarkStart w:id="78" w:name="_Toc393727156"/>
      <w:bookmarkStart w:id="79" w:name="_Toc372013039"/>
      <w:r>
        <w:rPr>
          <w:rFonts w:hint="eastAsia" w:ascii="宋体" w:hAnsi="宋体" w:cs="宋体"/>
          <w:b/>
          <w:sz w:val="28"/>
          <w:szCs w:val="28"/>
        </w:rPr>
        <w:t>格式1                       报   价  书</w:t>
      </w:r>
      <w:bookmarkEnd w:id="70"/>
      <w:bookmarkEnd w:id="71"/>
      <w:bookmarkEnd w:id="72"/>
      <w:bookmarkEnd w:id="73"/>
    </w:p>
    <w:p w14:paraId="69416AD0">
      <w:pPr>
        <w:pStyle w:val="9"/>
        <w:spacing w:line="440" w:lineRule="exact"/>
        <w:rPr>
          <w:rFonts w:ascii="宋体" w:hAnsi="宋体" w:cs="宋体"/>
          <w:szCs w:val="28"/>
        </w:rPr>
      </w:pPr>
    </w:p>
    <w:p w14:paraId="046553D3">
      <w:pPr>
        <w:pStyle w:val="9"/>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泉州师范学院（泉州师范学院图书馆）      </w:t>
      </w:r>
    </w:p>
    <w:p w14:paraId="5A7903F9">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3013303B">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4EE24DE6">
      <w:pPr>
        <w:spacing w:line="360" w:lineRule="auto"/>
        <w:ind w:firstLine="480" w:firstLineChars="200"/>
        <w:rPr>
          <w:rFonts w:ascii="宋体" w:hAnsi="宋体" w:cs="宋体"/>
          <w:sz w:val="24"/>
        </w:rPr>
      </w:pPr>
      <w:r>
        <w:rPr>
          <w:rFonts w:hint="eastAsia" w:ascii="宋体" w:hAnsi="宋体" w:cs="宋体"/>
          <w:sz w:val="24"/>
        </w:rPr>
        <w:t>(2) 资格证明文件；</w:t>
      </w:r>
    </w:p>
    <w:p w14:paraId="5D273D6E">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5571F983">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3A484FFA">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14:paraId="12FE1FD1">
      <w:pPr>
        <w:spacing w:line="360" w:lineRule="auto"/>
        <w:rPr>
          <w:rFonts w:ascii="宋体" w:hAnsi="宋体" w:cs="宋体"/>
          <w:sz w:val="24"/>
        </w:rPr>
      </w:pPr>
      <w:r>
        <w:rPr>
          <w:rFonts w:hint="eastAsia" w:ascii="宋体" w:hAnsi="宋体" w:cs="宋体"/>
          <w:sz w:val="24"/>
        </w:rPr>
        <w:t xml:space="preserve">    据此函，报价供应商同意遵守如下条款：</w:t>
      </w:r>
    </w:p>
    <w:p w14:paraId="05047506">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63E34DE4">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225B720A">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2EDE6553">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4AD0A436">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63F300F4">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36A2609F">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3AE3D099">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334A51D7">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200650C2">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7FA06F7D">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7CC86EEA">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6736D55B">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6E7041BE">
      <w:pPr>
        <w:pStyle w:val="18"/>
        <w:ind w:firstLine="210"/>
      </w:pPr>
    </w:p>
    <w:p w14:paraId="0F6A4FA4">
      <w:pPr>
        <w:spacing w:line="440" w:lineRule="exact"/>
        <w:rPr>
          <w:rFonts w:ascii="宋体" w:hAnsi="宋体" w:cs="宋体"/>
          <w:b/>
          <w:sz w:val="28"/>
          <w:szCs w:val="28"/>
        </w:rPr>
      </w:pPr>
    </w:p>
    <w:p w14:paraId="3AFC1A95">
      <w:pPr>
        <w:pStyle w:val="2"/>
        <w:rPr>
          <w:color w:val="auto"/>
        </w:rPr>
      </w:pPr>
    </w:p>
    <w:p w14:paraId="54A6DB61">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4"/>
      <w:bookmarkEnd w:id="75"/>
      <w:bookmarkEnd w:id="76"/>
      <w:bookmarkEnd w:id="77"/>
      <w:bookmarkEnd w:id="78"/>
      <w:bookmarkEnd w:id="79"/>
      <w:bookmarkStart w:id="80" w:name="_Toc26916"/>
      <w:bookmarkStart w:id="81" w:name="_Toc20566"/>
      <w:bookmarkStart w:id="82" w:name="_Toc13976"/>
      <w:bookmarkStart w:id="83" w:name="_Toc4358"/>
      <w:r>
        <w:rPr>
          <w:rFonts w:hint="eastAsia" w:ascii="宋体" w:hAnsi="宋体" w:cs="宋体"/>
          <w:b/>
          <w:sz w:val="28"/>
          <w:szCs w:val="28"/>
        </w:rPr>
        <w:t>格式2                       报价一览表</w:t>
      </w:r>
      <w:bookmarkEnd w:id="80"/>
      <w:bookmarkEnd w:id="81"/>
      <w:bookmarkEnd w:id="82"/>
      <w:bookmarkEnd w:id="83"/>
    </w:p>
    <w:p w14:paraId="425CEFD0">
      <w:pPr>
        <w:spacing w:line="440" w:lineRule="exact"/>
        <w:rPr>
          <w:rFonts w:ascii="宋体" w:hAnsi="宋体" w:cs="宋体"/>
          <w:sz w:val="28"/>
          <w:szCs w:val="28"/>
        </w:rPr>
      </w:pPr>
    </w:p>
    <w:p w14:paraId="7D42D72E">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35763803">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20"/>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6E78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E16512F">
            <w:pPr>
              <w:pStyle w:val="17"/>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2D959D60">
            <w:pPr>
              <w:pStyle w:val="17"/>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6FFD62D8">
            <w:pPr>
              <w:pStyle w:val="17"/>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0A9D0922">
            <w:pPr>
              <w:pStyle w:val="17"/>
              <w:tabs>
                <w:tab w:val="left" w:pos="8360"/>
              </w:tabs>
              <w:spacing w:line="360" w:lineRule="exact"/>
              <w:jc w:val="center"/>
              <w:rPr>
                <w:rFonts w:hAnsi="宋体" w:cs="宋体"/>
                <w:b/>
                <w:sz w:val="24"/>
                <w:szCs w:val="24"/>
              </w:rPr>
            </w:pPr>
            <w:r>
              <w:rPr>
                <w:rFonts w:hint="eastAsia" w:hAnsi="宋体" w:cs="宋体"/>
                <w:b/>
                <w:sz w:val="24"/>
                <w:szCs w:val="24"/>
              </w:rPr>
              <w:t>报价（元）</w:t>
            </w:r>
          </w:p>
        </w:tc>
      </w:tr>
      <w:tr w14:paraId="39C4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FD2C9C3">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667ADF17">
            <w:pPr>
              <w:pStyle w:val="15"/>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47B688BF">
            <w:pPr>
              <w:pStyle w:val="15"/>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017C3DA5">
            <w:pPr>
              <w:pStyle w:val="11"/>
              <w:tabs>
                <w:tab w:val="left" w:pos="8360"/>
              </w:tabs>
              <w:spacing w:line="360" w:lineRule="exact"/>
              <w:jc w:val="center"/>
              <w:rPr>
                <w:rFonts w:ascii="宋体" w:hAnsi="宋体" w:cs="宋体"/>
                <w:sz w:val="24"/>
                <w:szCs w:val="24"/>
                <w:u w:val="single"/>
              </w:rPr>
            </w:pPr>
          </w:p>
        </w:tc>
      </w:tr>
    </w:tbl>
    <w:p w14:paraId="7EB1FBDC">
      <w:pPr>
        <w:pStyle w:val="2"/>
        <w:rPr>
          <w:rFonts w:ascii="宋体" w:hAnsi="宋体" w:eastAsia="宋体" w:cs="宋体"/>
          <w:color w:val="auto"/>
          <w:u w:val="single"/>
        </w:rPr>
      </w:pPr>
    </w:p>
    <w:p w14:paraId="2E06E67D">
      <w:pPr>
        <w:pStyle w:val="2"/>
        <w:rPr>
          <w:rFonts w:ascii="宋体" w:hAnsi="宋体" w:eastAsia="宋体" w:cs="宋体"/>
          <w:color w:val="auto"/>
          <w:u w:val="single"/>
        </w:rPr>
      </w:pPr>
    </w:p>
    <w:p w14:paraId="1414D03E">
      <w:pPr>
        <w:pStyle w:val="2"/>
        <w:rPr>
          <w:rFonts w:ascii="宋体" w:hAnsi="宋体" w:eastAsia="宋体" w:cs="宋体"/>
          <w:color w:val="auto"/>
          <w:u w:val="single"/>
        </w:rPr>
      </w:pPr>
    </w:p>
    <w:p w14:paraId="2794963D">
      <w:pPr>
        <w:pStyle w:val="2"/>
        <w:rPr>
          <w:rFonts w:ascii="宋体" w:hAnsi="宋体" w:eastAsia="宋体" w:cs="宋体"/>
          <w:color w:val="auto"/>
          <w:u w:val="single"/>
        </w:rPr>
      </w:pPr>
    </w:p>
    <w:p w14:paraId="67B8AB1E">
      <w:pPr>
        <w:pStyle w:val="2"/>
        <w:rPr>
          <w:rFonts w:ascii="宋体" w:hAnsi="宋体" w:eastAsia="宋体" w:cs="宋体"/>
          <w:color w:val="auto"/>
          <w:u w:val="single"/>
        </w:rPr>
      </w:pPr>
    </w:p>
    <w:p w14:paraId="2909D7F8">
      <w:pPr>
        <w:spacing w:line="360" w:lineRule="auto"/>
        <w:ind w:firstLine="2400" w:firstLineChars="1000"/>
        <w:rPr>
          <w:rFonts w:ascii="宋体" w:hAnsi="宋体" w:cs="宋体"/>
          <w:sz w:val="24"/>
        </w:rPr>
      </w:pPr>
    </w:p>
    <w:p w14:paraId="2C0DC16E">
      <w:pPr>
        <w:spacing w:line="360" w:lineRule="auto"/>
        <w:ind w:firstLine="2400" w:firstLineChars="1000"/>
        <w:rPr>
          <w:rFonts w:ascii="宋体" w:hAnsi="宋体" w:cs="宋体"/>
          <w:sz w:val="24"/>
        </w:rPr>
      </w:pPr>
    </w:p>
    <w:p w14:paraId="40352AFC">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443F20C2">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2EA185D">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6DFF85DE">
      <w:pPr>
        <w:spacing w:line="360" w:lineRule="auto"/>
        <w:rPr>
          <w:rFonts w:ascii="宋体" w:hAnsi="宋体" w:cs="宋体"/>
          <w:sz w:val="24"/>
        </w:rPr>
      </w:pPr>
    </w:p>
    <w:p w14:paraId="5F029291">
      <w:pPr>
        <w:spacing w:line="360" w:lineRule="auto"/>
        <w:rPr>
          <w:rFonts w:ascii="宋体" w:hAnsi="宋体" w:cs="宋体"/>
          <w:sz w:val="24"/>
        </w:rPr>
      </w:pPr>
    </w:p>
    <w:p w14:paraId="183BA951">
      <w:pPr>
        <w:rPr>
          <w:rFonts w:ascii="宋体" w:hAnsi="宋体" w:cs="宋体"/>
          <w:sz w:val="28"/>
          <w:szCs w:val="28"/>
        </w:rPr>
      </w:pPr>
    </w:p>
    <w:p w14:paraId="67217307">
      <w:pPr>
        <w:rPr>
          <w:rFonts w:ascii="宋体" w:hAnsi="宋体" w:cs="宋体"/>
          <w:sz w:val="28"/>
          <w:szCs w:val="28"/>
        </w:rPr>
      </w:pPr>
    </w:p>
    <w:p w14:paraId="2EB539BD">
      <w:pPr>
        <w:rPr>
          <w:rFonts w:ascii="宋体" w:hAnsi="宋体" w:cs="宋体"/>
          <w:sz w:val="28"/>
          <w:szCs w:val="28"/>
        </w:rPr>
      </w:pPr>
    </w:p>
    <w:p w14:paraId="6EEB8A87">
      <w:pPr>
        <w:rPr>
          <w:rFonts w:ascii="宋体" w:hAnsi="宋体" w:cs="宋体"/>
          <w:sz w:val="28"/>
          <w:szCs w:val="28"/>
        </w:rPr>
      </w:pPr>
    </w:p>
    <w:p w14:paraId="19FB2EE1">
      <w:pPr>
        <w:pStyle w:val="18"/>
        <w:ind w:firstLine="280"/>
        <w:rPr>
          <w:rFonts w:ascii="宋体" w:hAnsi="宋体" w:cs="宋体"/>
          <w:sz w:val="28"/>
          <w:szCs w:val="28"/>
        </w:rPr>
      </w:pPr>
    </w:p>
    <w:p w14:paraId="551F5478">
      <w:pPr>
        <w:pStyle w:val="18"/>
        <w:ind w:firstLine="280"/>
        <w:rPr>
          <w:rFonts w:ascii="宋体" w:hAnsi="宋体" w:cs="宋体"/>
          <w:sz w:val="28"/>
          <w:szCs w:val="28"/>
        </w:rPr>
      </w:pPr>
    </w:p>
    <w:p w14:paraId="6AD98EE2">
      <w:pPr>
        <w:pStyle w:val="18"/>
        <w:ind w:firstLine="280"/>
        <w:rPr>
          <w:rFonts w:ascii="宋体" w:hAnsi="宋体" w:cs="宋体"/>
          <w:sz w:val="28"/>
          <w:szCs w:val="28"/>
        </w:rPr>
      </w:pPr>
    </w:p>
    <w:p w14:paraId="68DE7E9F">
      <w:pPr>
        <w:pStyle w:val="18"/>
        <w:ind w:firstLine="280"/>
        <w:rPr>
          <w:rFonts w:ascii="宋体" w:hAnsi="宋体" w:cs="宋体"/>
          <w:sz w:val="28"/>
          <w:szCs w:val="28"/>
        </w:rPr>
      </w:pPr>
    </w:p>
    <w:p w14:paraId="21049D0E">
      <w:pPr>
        <w:spacing w:line="400" w:lineRule="exact"/>
        <w:rPr>
          <w:rFonts w:hAnsi="宋体"/>
          <w:b/>
          <w:sz w:val="24"/>
        </w:rPr>
      </w:pPr>
      <w:bookmarkStart w:id="84" w:name="_Toc477899480"/>
    </w:p>
    <w:p w14:paraId="170CEB08">
      <w:pPr>
        <w:spacing w:line="400" w:lineRule="exact"/>
        <w:outlineLvl w:val="0"/>
        <w:rPr>
          <w:rFonts w:ascii="宋体" w:hAnsi="宋体"/>
          <w:b/>
          <w:sz w:val="24"/>
        </w:rPr>
      </w:pPr>
      <w:bookmarkStart w:id="85" w:name="_Toc7138"/>
      <w:bookmarkStart w:id="86" w:name="_Toc12436"/>
      <w:r>
        <w:rPr>
          <w:rFonts w:hint="eastAsia" w:hAnsi="宋体"/>
          <w:b/>
          <w:sz w:val="24"/>
        </w:rPr>
        <w:t xml:space="preserve">格式3   </w:t>
      </w:r>
      <w:r>
        <w:rPr>
          <w:rFonts w:hint="eastAsia" w:ascii="宋体" w:hAnsi="宋体"/>
          <w:b/>
          <w:sz w:val="24"/>
        </w:rPr>
        <w:t xml:space="preserve">                       分项报价明细表</w:t>
      </w:r>
      <w:bookmarkEnd w:id="84"/>
      <w:bookmarkEnd w:id="85"/>
      <w:bookmarkEnd w:id="86"/>
    </w:p>
    <w:p w14:paraId="3935F418">
      <w:pPr>
        <w:spacing w:line="400" w:lineRule="exact"/>
        <w:rPr>
          <w:rFonts w:ascii="黑体" w:hAnsi="Arial" w:eastAsia="黑体"/>
          <w:b/>
          <w:sz w:val="24"/>
        </w:rPr>
      </w:pPr>
    </w:p>
    <w:p w14:paraId="3D34B401">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592F2C39">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389B000C">
      <w:pPr>
        <w:spacing w:line="400" w:lineRule="exact"/>
        <w:rPr>
          <w:rFonts w:ascii="Arial" w:hAnsi="Arial"/>
          <w:szCs w:val="21"/>
        </w:rPr>
      </w:pPr>
    </w:p>
    <w:p w14:paraId="571EC657">
      <w:pPr>
        <w:pStyle w:val="2"/>
        <w:rPr>
          <w:rFonts w:ascii="Arial" w:hAnsi="Arial"/>
          <w:color w:val="auto"/>
          <w:szCs w:val="21"/>
        </w:rPr>
      </w:pPr>
    </w:p>
    <w:p w14:paraId="5B45FE29">
      <w:pPr>
        <w:pStyle w:val="2"/>
        <w:rPr>
          <w:rFonts w:ascii="Arial" w:hAnsi="Arial"/>
          <w:color w:val="auto"/>
          <w:szCs w:val="21"/>
        </w:rPr>
      </w:pPr>
    </w:p>
    <w:p w14:paraId="745B4D69">
      <w:pPr>
        <w:spacing w:line="400" w:lineRule="exact"/>
        <w:jc w:val="center"/>
        <w:rPr>
          <w:rFonts w:ascii="Arial" w:hAnsi="Arial"/>
          <w:sz w:val="32"/>
          <w:szCs w:val="32"/>
        </w:rPr>
      </w:pPr>
      <w:r>
        <w:rPr>
          <w:rFonts w:hint="eastAsia" w:ascii="Arial" w:hAnsi="Arial"/>
          <w:sz w:val="32"/>
          <w:szCs w:val="32"/>
        </w:rPr>
        <w:t>格式自拟定</w:t>
      </w:r>
    </w:p>
    <w:p w14:paraId="25A66C76">
      <w:pPr>
        <w:spacing w:line="400" w:lineRule="exact"/>
        <w:rPr>
          <w:rFonts w:ascii="Arial" w:hAnsi="Arial"/>
          <w:szCs w:val="21"/>
        </w:rPr>
      </w:pPr>
    </w:p>
    <w:p w14:paraId="46BDFC48">
      <w:pPr>
        <w:pStyle w:val="2"/>
        <w:rPr>
          <w:rFonts w:ascii="Arial" w:hAnsi="Arial"/>
          <w:color w:val="auto"/>
          <w:szCs w:val="21"/>
        </w:rPr>
      </w:pPr>
    </w:p>
    <w:p w14:paraId="0E2747C5">
      <w:pPr>
        <w:pStyle w:val="2"/>
        <w:rPr>
          <w:rFonts w:ascii="Arial" w:hAnsi="Arial"/>
          <w:color w:val="auto"/>
          <w:szCs w:val="21"/>
        </w:rPr>
      </w:pPr>
    </w:p>
    <w:p w14:paraId="637B056E">
      <w:pPr>
        <w:pStyle w:val="2"/>
        <w:rPr>
          <w:rFonts w:ascii="Arial" w:hAnsi="Arial"/>
          <w:color w:val="auto"/>
          <w:szCs w:val="21"/>
        </w:rPr>
      </w:pPr>
    </w:p>
    <w:p w14:paraId="092BFAE4">
      <w:pPr>
        <w:spacing w:line="400" w:lineRule="exact"/>
        <w:rPr>
          <w:rFonts w:ascii="宋体" w:hAnsi="宋体"/>
          <w:b/>
          <w:szCs w:val="21"/>
        </w:rPr>
      </w:pPr>
    </w:p>
    <w:p w14:paraId="49D19FBA">
      <w:pPr>
        <w:spacing w:line="400" w:lineRule="exact"/>
        <w:rPr>
          <w:rFonts w:ascii="宋体" w:hAnsi="宋体"/>
          <w:szCs w:val="21"/>
        </w:rPr>
      </w:pPr>
    </w:p>
    <w:p w14:paraId="073F1E55">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46C96093">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52BF1193">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E3EC505">
      <w:pPr>
        <w:pStyle w:val="18"/>
        <w:ind w:firstLine="0" w:firstLineChars="0"/>
        <w:rPr>
          <w:rFonts w:ascii="宋体" w:hAnsi="宋体" w:cs="宋体"/>
          <w:sz w:val="28"/>
          <w:szCs w:val="28"/>
        </w:rPr>
      </w:pPr>
    </w:p>
    <w:p w14:paraId="43F11545">
      <w:pPr>
        <w:pStyle w:val="18"/>
        <w:ind w:firstLine="0" w:firstLineChars="0"/>
        <w:rPr>
          <w:rFonts w:ascii="宋体" w:hAnsi="宋体" w:cs="宋体"/>
          <w:sz w:val="28"/>
          <w:szCs w:val="28"/>
        </w:rPr>
      </w:pPr>
    </w:p>
    <w:p w14:paraId="6CB106DE">
      <w:pPr>
        <w:pStyle w:val="18"/>
        <w:ind w:firstLine="0" w:firstLineChars="0"/>
        <w:rPr>
          <w:rFonts w:ascii="宋体" w:hAnsi="宋体" w:cs="宋体"/>
          <w:sz w:val="28"/>
          <w:szCs w:val="28"/>
        </w:rPr>
      </w:pPr>
    </w:p>
    <w:p w14:paraId="3D059817">
      <w:pPr>
        <w:pStyle w:val="18"/>
        <w:ind w:firstLine="0" w:firstLineChars="0"/>
        <w:rPr>
          <w:rFonts w:ascii="宋体" w:hAnsi="宋体" w:cs="宋体"/>
          <w:sz w:val="28"/>
          <w:szCs w:val="28"/>
        </w:rPr>
      </w:pPr>
    </w:p>
    <w:p w14:paraId="3977F685">
      <w:pPr>
        <w:pStyle w:val="18"/>
        <w:ind w:firstLine="0" w:firstLineChars="0"/>
        <w:rPr>
          <w:rFonts w:ascii="宋体" w:hAnsi="宋体" w:cs="宋体"/>
          <w:sz w:val="28"/>
          <w:szCs w:val="28"/>
        </w:rPr>
      </w:pPr>
    </w:p>
    <w:p w14:paraId="103BF03A">
      <w:pPr>
        <w:pStyle w:val="18"/>
        <w:ind w:firstLine="0" w:firstLineChars="0"/>
        <w:rPr>
          <w:rFonts w:ascii="宋体" w:hAnsi="宋体" w:cs="宋体"/>
          <w:sz w:val="28"/>
          <w:szCs w:val="28"/>
        </w:rPr>
      </w:pPr>
    </w:p>
    <w:p w14:paraId="2ABE1A41">
      <w:pPr>
        <w:pStyle w:val="18"/>
        <w:ind w:firstLine="0" w:firstLineChars="0"/>
        <w:rPr>
          <w:rFonts w:ascii="宋体" w:hAnsi="宋体" w:cs="宋体"/>
          <w:sz w:val="28"/>
          <w:szCs w:val="28"/>
        </w:rPr>
      </w:pPr>
    </w:p>
    <w:p w14:paraId="5355F9D5">
      <w:pPr>
        <w:pStyle w:val="18"/>
        <w:ind w:firstLine="0" w:firstLineChars="0"/>
        <w:rPr>
          <w:rFonts w:ascii="宋体" w:hAnsi="宋体" w:cs="宋体"/>
          <w:sz w:val="28"/>
          <w:szCs w:val="28"/>
        </w:rPr>
      </w:pPr>
    </w:p>
    <w:p w14:paraId="059040C9">
      <w:pPr>
        <w:pStyle w:val="18"/>
        <w:ind w:firstLine="0" w:firstLineChars="0"/>
        <w:rPr>
          <w:rFonts w:ascii="宋体" w:hAnsi="宋体" w:cs="宋体"/>
          <w:sz w:val="28"/>
          <w:szCs w:val="28"/>
        </w:rPr>
      </w:pPr>
    </w:p>
    <w:p w14:paraId="665ADA63">
      <w:pPr>
        <w:pStyle w:val="18"/>
        <w:ind w:firstLine="0" w:firstLineChars="0"/>
        <w:rPr>
          <w:rFonts w:ascii="宋体" w:hAnsi="宋体" w:cs="宋体"/>
          <w:sz w:val="28"/>
          <w:szCs w:val="28"/>
        </w:rPr>
      </w:pPr>
    </w:p>
    <w:p w14:paraId="33E0BD40">
      <w:pPr>
        <w:spacing w:line="440" w:lineRule="exact"/>
        <w:outlineLvl w:val="0"/>
        <w:rPr>
          <w:rFonts w:ascii="宋体" w:hAnsi="宋体" w:cs="宋体"/>
          <w:b/>
          <w:sz w:val="28"/>
          <w:szCs w:val="28"/>
        </w:rPr>
      </w:pPr>
      <w:bookmarkStart w:id="87" w:name="_Toc102"/>
      <w:bookmarkStart w:id="88" w:name="_Toc24037"/>
      <w:bookmarkStart w:id="89" w:name="_Toc29026"/>
      <w:bookmarkStart w:id="90" w:name="_Toc24019"/>
      <w:bookmarkStart w:id="91" w:name="_Toc372013046"/>
      <w:bookmarkStart w:id="92" w:name="_Toc145132116"/>
      <w:bookmarkStart w:id="93" w:name="_Toc432513149"/>
      <w:bookmarkStart w:id="94" w:name="_Toc23010"/>
      <w:bookmarkStart w:id="95" w:name="_Toc502907895"/>
      <w:bookmarkStart w:id="96" w:name="_Toc373141312"/>
      <w:bookmarkStart w:id="97" w:name="_Toc393727163"/>
    </w:p>
    <w:p w14:paraId="1C015D60">
      <w:pPr>
        <w:spacing w:line="440" w:lineRule="exact"/>
        <w:outlineLvl w:val="0"/>
        <w:rPr>
          <w:rFonts w:ascii="宋体" w:hAnsi="宋体" w:cs="宋体"/>
          <w:b/>
          <w:sz w:val="28"/>
          <w:szCs w:val="28"/>
        </w:rPr>
      </w:pPr>
      <w:r>
        <w:rPr>
          <w:rFonts w:hint="eastAsia" w:ascii="宋体" w:hAnsi="宋体" w:cs="宋体"/>
          <w:b/>
          <w:sz w:val="28"/>
          <w:szCs w:val="28"/>
        </w:rPr>
        <w:t>格式4                           资格声明函</w:t>
      </w:r>
      <w:bookmarkEnd w:id="87"/>
      <w:bookmarkEnd w:id="88"/>
      <w:bookmarkEnd w:id="89"/>
      <w:bookmarkEnd w:id="90"/>
    </w:p>
    <w:p w14:paraId="4396FDA8">
      <w:pPr>
        <w:spacing w:line="440" w:lineRule="exact"/>
        <w:ind w:firstLine="2940" w:firstLineChars="1046"/>
        <w:jc w:val="left"/>
        <w:rPr>
          <w:rFonts w:ascii="宋体" w:hAnsi="宋体" w:cs="宋体"/>
          <w:b/>
          <w:sz w:val="28"/>
          <w:szCs w:val="28"/>
        </w:rPr>
      </w:pPr>
    </w:p>
    <w:p w14:paraId="5F89B21C">
      <w:pPr>
        <w:pStyle w:val="9"/>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泉州师范学院（泉州师范学院图书馆）      </w:t>
      </w:r>
    </w:p>
    <w:p w14:paraId="3DE4BA9E">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17417F00">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4D4D4E81">
      <w:pPr>
        <w:spacing w:line="360" w:lineRule="auto"/>
        <w:ind w:firstLine="480" w:firstLineChars="200"/>
        <w:rPr>
          <w:rFonts w:ascii="宋体" w:hAnsi="宋体" w:cs="宋体"/>
          <w:sz w:val="24"/>
        </w:rPr>
      </w:pPr>
      <w:r>
        <w:rPr>
          <w:rFonts w:hint="eastAsia" w:ascii="宋体" w:hAnsi="宋体" w:cs="宋体"/>
          <w:sz w:val="24"/>
        </w:rPr>
        <w:t xml:space="preserve">    </w:t>
      </w:r>
    </w:p>
    <w:p w14:paraId="0543A1B2">
      <w:pPr>
        <w:spacing w:line="360" w:lineRule="auto"/>
        <w:ind w:firstLine="480" w:firstLineChars="200"/>
        <w:rPr>
          <w:rFonts w:ascii="宋体" w:hAnsi="宋体" w:cs="宋体"/>
          <w:sz w:val="24"/>
        </w:rPr>
      </w:pPr>
    </w:p>
    <w:p w14:paraId="7AC47545">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6B763AAD">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27ABA8F5">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24D6A145">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2D7B48EA">
      <w:pPr>
        <w:spacing w:line="360" w:lineRule="auto"/>
        <w:ind w:firstLine="480" w:firstLineChars="200"/>
        <w:rPr>
          <w:rFonts w:ascii="宋体" w:hAnsi="宋体" w:cs="宋体"/>
          <w:sz w:val="24"/>
        </w:rPr>
      </w:pPr>
      <w:r>
        <w:rPr>
          <w:rFonts w:hint="eastAsia" w:ascii="宋体" w:hAnsi="宋体" w:cs="宋体"/>
          <w:sz w:val="24"/>
        </w:rPr>
        <w:t xml:space="preserve"> </w:t>
      </w:r>
    </w:p>
    <w:p w14:paraId="5E4C18A7">
      <w:pPr>
        <w:pStyle w:val="16"/>
      </w:pPr>
    </w:p>
    <w:p w14:paraId="090BD739">
      <w:pPr>
        <w:spacing w:line="360" w:lineRule="auto"/>
        <w:rPr>
          <w:rFonts w:ascii="宋体" w:hAnsi="宋体" w:cs="宋体"/>
          <w:sz w:val="24"/>
        </w:rPr>
      </w:pPr>
      <w:r>
        <w:rPr>
          <w:rFonts w:hint="eastAsia" w:ascii="宋体" w:hAnsi="宋体" w:cs="宋体"/>
          <w:sz w:val="24"/>
        </w:rPr>
        <w:t>附后：</w:t>
      </w:r>
    </w:p>
    <w:p w14:paraId="7466B05D">
      <w:pPr>
        <w:spacing w:line="360" w:lineRule="auto"/>
        <w:rPr>
          <w:rFonts w:ascii="宋体" w:hAnsi="宋体" w:cs="宋体"/>
          <w:sz w:val="24"/>
        </w:rPr>
      </w:pPr>
      <w:r>
        <w:rPr>
          <w:rFonts w:hint="eastAsia" w:ascii="宋体" w:hAnsi="宋体" w:cs="宋体"/>
          <w:sz w:val="24"/>
        </w:rPr>
        <w:t>1、公司简介</w:t>
      </w:r>
    </w:p>
    <w:p w14:paraId="784A3A84">
      <w:pPr>
        <w:spacing w:line="360" w:lineRule="auto"/>
        <w:rPr>
          <w:rFonts w:ascii="宋体" w:hAnsi="宋体" w:cs="宋体"/>
          <w:sz w:val="24"/>
        </w:rPr>
      </w:pPr>
      <w:r>
        <w:rPr>
          <w:rFonts w:hint="eastAsia" w:ascii="宋体" w:hAnsi="宋体" w:cs="宋体"/>
          <w:sz w:val="24"/>
        </w:rPr>
        <w:t>2、资格证明文件（均加盖报价供应商公章）</w:t>
      </w:r>
    </w:p>
    <w:p w14:paraId="6313DEAF">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2EED4881">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538993F4">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1D340EF7">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58B8DCD7">
      <w:pPr>
        <w:spacing w:line="360" w:lineRule="auto"/>
        <w:ind w:firstLine="360" w:firstLineChars="150"/>
        <w:rPr>
          <w:rFonts w:ascii="宋体" w:hAnsi="宋体" w:cs="宋体"/>
          <w:sz w:val="24"/>
        </w:rPr>
      </w:pPr>
      <w:r>
        <w:rPr>
          <w:rFonts w:ascii="Arial" w:hAnsi="Arial" w:cs="Arial"/>
          <w:sz w:val="24"/>
        </w:rPr>
        <w:t>…………………………</w:t>
      </w:r>
    </w:p>
    <w:p w14:paraId="23334C1C">
      <w:pPr>
        <w:spacing w:line="360" w:lineRule="auto"/>
        <w:ind w:firstLine="360" w:firstLineChars="150"/>
        <w:rPr>
          <w:rFonts w:ascii="宋体" w:hAnsi="宋体" w:cs="宋体"/>
          <w:sz w:val="24"/>
        </w:rPr>
      </w:pPr>
    </w:p>
    <w:p w14:paraId="68400686">
      <w:pPr>
        <w:spacing w:line="360" w:lineRule="auto"/>
        <w:ind w:firstLine="360" w:firstLineChars="150"/>
        <w:rPr>
          <w:rFonts w:ascii="宋体" w:hAnsi="宋体" w:cs="宋体"/>
          <w:sz w:val="24"/>
        </w:rPr>
      </w:pPr>
    </w:p>
    <w:p w14:paraId="7A2765FA">
      <w:pPr>
        <w:spacing w:line="360" w:lineRule="auto"/>
        <w:ind w:firstLine="360" w:firstLineChars="150"/>
        <w:rPr>
          <w:rFonts w:ascii="宋体" w:hAnsi="宋体" w:cs="宋体"/>
          <w:sz w:val="24"/>
        </w:rPr>
      </w:pPr>
    </w:p>
    <w:p w14:paraId="52CC2321">
      <w:pPr>
        <w:spacing w:line="360" w:lineRule="auto"/>
        <w:ind w:firstLine="360" w:firstLineChars="150"/>
        <w:rPr>
          <w:rFonts w:ascii="宋体" w:hAnsi="宋体" w:cs="宋体"/>
          <w:sz w:val="24"/>
        </w:rPr>
      </w:pPr>
    </w:p>
    <w:p w14:paraId="490A7F83">
      <w:pPr>
        <w:spacing w:line="360" w:lineRule="auto"/>
        <w:ind w:firstLine="360" w:firstLineChars="150"/>
        <w:rPr>
          <w:rFonts w:ascii="宋体" w:hAnsi="宋体" w:cs="宋体"/>
          <w:sz w:val="24"/>
        </w:rPr>
      </w:pPr>
    </w:p>
    <w:bookmarkEnd w:id="91"/>
    <w:bookmarkEnd w:id="92"/>
    <w:bookmarkEnd w:id="93"/>
    <w:bookmarkEnd w:id="94"/>
    <w:bookmarkEnd w:id="95"/>
    <w:bookmarkEnd w:id="96"/>
    <w:bookmarkEnd w:id="97"/>
    <w:p w14:paraId="38584738">
      <w:pPr>
        <w:spacing w:line="440" w:lineRule="exact"/>
        <w:rPr>
          <w:rFonts w:ascii="宋体" w:hAnsi="宋体" w:cs="宋体"/>
          <w:b/>
          <w:sz w:val="28"/>
          <w:szCs w:val="28"/>
        </w:rPr>
      </w:pPr>
    </w:p>
    <w:p w14:paraId="2B668B37">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98" w:name="_Toc15327"/>
      <w:bookmarkStart w:id="99" w:name="_Toc30609"/>
      <w:bookmarkStart w:id="100" w:name="_Toc13141"/>
      <w:bookmarkStart w:id="101" w:name="_Toc4657"/>
      <w:r>
        <w:rPr>
          <w:rFonts w:hint="eastAsia" w:ascii="宋体" w:hAnsi="宋体" w:cs="宋体"/>
          <w:b/>
          <w:sz w:val="28"/>
          <w:szCs w:val="28"/>
        </w:rPr>
        <w:t>格式5                  法定代表人授权书(原件)</w:t>
      </w:r>
      <w:bookmarkEnd w:id="98"/>
      <w:bookmarkEnd w:id="99"/>
      <w:bookmarkEnd w:id="100"/>
      <w:bookmarkEnd w:id="101"/>
    </w:p>
    <w:p w14:paraId="6EB0AA1D">
      <w:pPr>
        <w:spacing w:line="440" w:lineRule="exact"/>
        <w:rPr>
          <w:rFonts w:ascii="宋体" w:hAnsi="宋体" w:cs="宋体"/>
          <w:b/>
          <w:sz w:val="28"/>
          <w:szCs w:val="28"/>
        </w:rPr>
      </w:pPr>
    </w:p>
    <w:p w14:paraId="09D6A67B">
      <w:pPr>
        <w:spacing w:line="440" w:lineRule="exact"/>
        <w:rPr>
          <w:rFonts w:ascii="宋体" w:hAnsi="宋体" w:cs="宋体"/>
          <w:b/>
          <w:sz w:val="28"/>
          <w:szCs w:val="28"/>
        </w:rPr>
      </w:pPr>
    </w:p>
    <w:p w14:paraId="493E31EA">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112C0C80">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09341831">
      <w:pPr>
        <w:pStyle w:val="25"/>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13ABDC1A">
      <w:pPr>
        <w:pStyle w:val="25"/>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6458BA37">
      <w:pPr>
        <w:pStyle w:val="25"/>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435F35F2">
      <w:pPr>
        <w:pStyle w:val="25"/>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4E349EE7">
      <w:pPr>
        <w:pStyle w:val="25"/>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4CF67CFC">
      <w:pPr>
        <w:pStyle w:val="25"/>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72979BA8">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1E62F5C6">
      <w:pPr>
        <w:spacing w:line="360" w:lineRule="auto"/>
        <w:rPr>
          <w:rFonts w:ascii="宋体" w:hAnsi="宋体" w:cs="宋体"/>
          <w:b/>
          <w:sz w:val="24"/>
        </w:rPr>
      </w:pPr>
    </w:p>
    <w:p w14:paraId="65ED76A9">
      <w:pPr>
        <w:pStyle w:val="25"/>
        <w:spacing w:line="360" w:lineRule="auto"/>
        <w:ind w:right="560" w:firstLine="560"/>
        <w:jc w:val="center"/>
        <w:rPr>
          <w:rFonts w:ascii="宋体" w:hAnsi="宋体" w:cs="宋体"/>
          <w:szCs w:val="24"/>
        </w:rPr>
      </w:pPr>
    </w:p>
    <w:p w14:paraId="3970BEBB">
      <w:pPr>
        <w:pStyle w:val="25"/>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06C2CDC0">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E09879C">
      <w:pPr>
        <w:spacing w:line="440" w:lineRule="exact"/>
        <w:rPr>
          <w:rFonts w:ascii="宋体" w:hAnsi="宋体" w:cs="宋体"/>
          <w:b/>
          <w:sz w:val="28"/>
          <w:szCs w:val="28"/>
        </w:rPr>
      </w:pPr>
    </w:p>
    <w:p w14:paraId="2295846C">
      <w:pPr>
        <w:spacing w:line="440" w:lineRule="exact"/>
        <w:rPr>
          <w:rFonts w:ascii="宋体" w:hAnsi="宋体" w:cs="宋体"/>
          <w:b/>
          <w:sz w:val="28"/>
          <w:szCs w:val="28"/>
        </w:rPr>
      </w:pPr>
    </w:p>
    <w:p w14:paraId="41900FBB">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3C8D11FB">
      <w:pPr>
        <w:spacing w:line="440" w:lineRule="exact"/>
        <w:rPr>
          <w:rFonts w:ascii="宋体" w:hAnsi="宋体" w:cs="宋体"/>
          <w:b/>
          <w:sz w:val="28"/>
          <w:szCs w:val="28"/>
        </w:rPr>
      </w:pPr>
    </w:p>
    <w:p w14:paraId="0B6D7DE3">
      <w:pPr>
        <w:spacing w:line="440" w:lineRule="exact"/>
        <w:rPr>
          <w:rFonts w:ascii="宋体" w:hAnsi="宋体" w:cs="宋体"/>
          <w:b/>
          <w:sz w:val="28"/>
          <w:szCs w:val="28"/>
        </w:rPr>
      </w:pPr>
    </w:p>
    <w:p w14:paraId="518030F4">
      <w:pPr>
        <w:pStyle w:val="18"/>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162D5FCA">
      <w:pPr>
        <w:spacing w:line="440" w:lineRule="exact"/>
      </w:pPr>
    </w:p>
    <w:p w14:paraId="68AC4F86">
      <w:pPr>
        <w:pStyle w:val="2"/>
        <w:rPr>
          <w:color w:val="auto"/>
        </w:rPr>
      </w:pPr>
    </w:p>
    <w:p w14:paraId="54D9851B">
      <w:pPr>
        <w:pStyle w:val="2"/>
        <w:rPr>
          <w:color w:val="auto"/>
        </w:rPr>
      </w:pPr>
    </w:p>
    <w:p w14:paraId="15C10BEE">
      <w:pPr>
        <w:pStyle w:val="2"/>
        <w:rPr>
          <w:color w:val="auto"/>
        </w:rPr>
      </w:pPr>
    </w:p>
    <w:p w14:paraId="268573AF">
      <w:pPr>
        <w:pStyle w:val="2"/>
        <w:rPr>
          <w:color w:val="auto"/>
        </w:rPr>
      </w:pPr>
    </w:p>
    <w:p w14:paraId="77B138F8">
      <w:pPr>
        <w:pStyle w:val="2"/>
        <w:rPr>
          <w:color w:val="auto"/>
        </w:rPr>
      </w:pPr>
    </w:p>
    <w:p w14:paraId="0CF97622">
      <w:pPr>
        <w:pStyle w:val="2"/>
        <w:rPr>
          <w:color w:val="auto"/>
        </w:rPr>
      </w:pPr>
    </w:p>
    <w:p w14:paraId="170CC335">
      <w:pPr>
        <w:spacing w:line="440" w:lineRule="exact"/>
        <w:outlineLvl w:val="0"/>
        <w:rPr>
          <w:rFonts w:ascii="宋体" w:hAnsi="宋体" w:cs="宋体"/>
          <w:b/>
          <w:sz w:val="28"/>
          <w:szCs w:val="28"/>
        </w:rPr>
      </w:pPr>
      <w:r>
        <w:rPr>
          <w:rFonts w:hint="eastAsia" w:ascii="宋体" w:hAnsi="宋体" w:cs="宋体"/>
          <w:b/>
          <w:sz w:val="28"/>
          <w:szCs w:val="28"/>
        </w:rPr>
        <w:t>格式6                          资格声明函</w:t>
      </w:r>
    </w:p>
    <w:p w14:paraId="7FF1D132">
      <w:pPr>
        <w:pStyle w:val="9"/>
        <w:spacing w:line="360" w:lineRule="auto"/>
        <w:rPr>
          <w:rFonts w:ascii="宋体" w:hAnsi="宋体" w:cs="宋体"/>
          <w:sz w:val="24"/>
          <w:szCs w:val="24"/>
        </w:rPr>
      </w:pPr>
    </w:p>
    <w:p w14:paraId="49C3FD1E">
      <w:pPr>
        <w:pStyle w:val="9"/>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泉州师范学院（泉州师范学院图书馆）      </w:t>
      </w:r>
    </w:p>
    <w:p w14:paraId="6C55C3B5">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00F46859">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3B1D5680">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703CDC23">
      <w:pPr>
        <w:pStyle w:val="15"/>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4DF351E0">
      <w:pPr>
        <w:pStyle w:val="15"/>
        <w:widowControl/>
        <w:ind w:firstLine="336"/>
        <w:rPr>
          <w:rFonts w:asciiTheme="minorEastAsia" w:hAnsiTheme="minorEastAsia" w:eastAsiaTheme="minorEastAsia" w:cstheme="minorEastAsia"/>
        </w:rPr>
      </w:pPr>
    </w:p>
    <w:p w14:paraId="777045BE">
      <w:pPr>
        <w:pStyle w:val="15"/>
        <w:widowControl/>
        <w:ind w:firstLine="336"/>
        <w:rPr>
          <w:rFonts w:asciiTheme="minorEastAsia" w:hAnsiTheme="minorEastAsia" w:eastAsiaTheme="minorEastAsia" w:cstheme="minorEastAsia"/>
        </w:rPr>
      </w:pPr>
    </w:p>
    <w:p w14:paraId="1DD9A35D">
      <w:pPr>
        <w:pStyle w:val="15"/>
        <w:widowControl/>
        <w:ind w:firstLine="336"/>
        <w:rPr>
          <w:rFonts w:asciiTheme="minorEastAsia" w:hAnsiTheme="minorEastAsia" w:eastAsiaTheme="minorEastAsia" w:cstheme="minorEastAsia"/>
        </w:rPr>
      </w:pPr>
    </w:p>
    <w:p w14:paraId="774D7A9F">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71410EE5">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7DD2700F">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7DEC5087">
      <w:pPr>
        <w:pStyle w:val="2"/>
        <w:rPr>
          <w:rFonts w:asciiTheme="minorEastAsia" w:hAnsiTheme="minorEastAsia" w:eastAsiaTheme="minorEastAsia" w:cstheme="minorEastAsia"/>
          <w:color w:val="auto"/>
        </w:rPr>
      </w:pPr>
    </w:p>
    <w:p w14:paraId="6570F941">
      <w:pPr>
        <w:pStyle w:val="2"/>
        <w:rPr>
          <w:rFonts w:asciiTheme="minorEastAsia" w:hAnsiTheme="minorEastAsia" w:eastAsiaTheme="minorEastAsia" w:cstheme="minorEastAsia"/>
          <w:color w:val="auto"/>
        </w:rPr>
      </w:pPr>
    </w:p>
    <w:p w14:paraId="62198DA0">
      <w:pPr>
        <w:pStyle w:val="2"/>
        <w:rPr>
          <w:rFonts w:asciiTheme="minorEastAsia" w:hAnsiTheme="minorEastAsia" w:eastAsiaTheme="minorEastAsia" w:cstheme="minorEastAsia"/>
          <w:color w:val="auto"/>
        </w:rPr>
      </w:pPr>
    </w:p>
    <w:p w14:paraId="40CB91E5">
      <w:pPr>
        <w:pStyle w:val="2"/>
        <w:rPr>
          <w:rFonts w:asciiTheme="minorEastAsia" w:hAnsiTheme="minorEastAsia" w:eastAsiaTheme="minorEastAsia" w:cstheme="minorEastAsia"/>
          <w:color w:val="auto"/>
        </w:rPr>
      </w:pPr>
    </w:p>
    <w:p w14:paraId="692460DB">
      <w:pPr>
        <w:pStyle w:val="2"/>
        <w:rPr>
          <w:rFonts w:asciiTheme="minorEastAsia" w:hAnsiTheme="minorEastAsia" w:eastAsiaTheme="minorEastAsia" w:cstheme="minorEastAsia"/>
          <w:color w:val="auto"/>
        </w:rPr>
      </w:pPr>
    </w:p>
    <w:p w14:paraId="01E73D66">
      <w:pPr>
        <w:pStyle w:val="2"/>
        <w:rPr>
          <w:rFonts w:asciiTheme="minorEastAsia" w:hAnsiTheme="minorEastAsia" w:eastAsiaTheme="minorEastAsia" w:cstheme="minorEastAsia"/>
          <w:color w:val="auto"/>
        </w:rPr>
      </w:pPr>
    </w:p>
    <w:p w14:paraId="15C8B061">
      <w:pPr>
        <w:pStyle w:val="2"/>
        <w:rPr>
          <w:rFonts w:asciiTheme="minorEastAsia" w:hAnsiTheme="minorEastAsia" w:eastAsiaTheme="minorEastAsia" w:cstheme="minorEastAsia"/>
          <w:color w:val="auto"/>
        </w:rPr>
      </w:pPr>
    </w:p>
    <w:p w14:paraId="4B2AE309">
      <w:pPr>
        <w:pStyle w:val="2"/>
        <w:rPr>
          <w:rFonts w:asciiTheme="minorEastAsia" w:hAnsiTheme="minorEastAsia" w:eastAsiaTheme="minorEastAsia" w:cstheme="minorEastAsia"/>
          <w:color w:val="auto"/>
        </w:rPr>
      </w:pPr>
    </w:p>
    <w:p w14:paraId="6DA42070">
      <w:pPr>
        <w:pStyle w:val="2"/>
        <w:rPr>
          <w:rFonts w:asciiTheme="minorEastAsia" w:hAnsiTheme="minorEastAsia" w:eastAsiaTheme="minorEastAsia" w:cstheme="minorEastAsia"/>
          <w:color w:val="auto"/>
        </w:rPr>
      </w:pPr>
    </w:p>
    <w:p w14:paraId="3812A854">
      <w:pPr>
        <w:pStyle w:val="2"/>
        <w:rPr>
          <w:rFonts w:asciiTheme="minorEastAsia" w:hAnsiTheme="minorEastAsia" w:eastAsiaTheme="minorEastAsia" w:cstheme="minorEastAsia"/>
          <w:color w:val="auto"/>
        </w:rPr>
      </w:pPr>
    </w:p>
    <w:p w14:paraId="59DC97CA">
      <w:pPr>
        <w:pStyle w:val="2"/>
        <w:rPr>
          <w:rFonts w:asciiTheme="minorEastAsia" w:hAnsiTheme="minorEastAsia" w:eastAsiaTheme="minorEastAsia" w:cstheme="minorEastAsia"/>
          <w:color w:val="auto"/>
        </w:rPr>
      </w:pPr>
    </w:p>
    <w:p w14:paraId="2E8297F2">
      <w:pPr>
        <w:pStyle w:val="2"/>
        <w:rPr>
          <w:rFonts w:asciiTheme="minorEastAsia" w:hAnsiTheme="minorEastAsia" w:eastAsiaTheme="minorEastAsia" w:cstheme="minorEastAsia"/>
          <w:color w:val="auto"/>
        </w:rPr>
      </w:pPr>
    </w:p>
    <w:p w14:paraId="1511060F">
      <w:pPr>
        <w:pStyle w:val="2"/>
        <w:rPr>
          <w:rFonts w:asciiTheme="minorEastAsia" w:hAnsiTheme="minorEastAsia" w:eastAsiaTheme="minorEastAsia" w:cstheme="minorEastAsia"/>
          <w:color w:val="auto"/>
        </w:rPr>
      </w:pPr>
    </w:p>
    <w:p w14:paraId="2A6E5D4B">
      <w:pPr>
        <w:pStyle w:val="2"/>
        <w:rPr>
          <w:rFonts w:asciiTheme="minorEastAsia" w:hAnsiTheme="minorEastAsia" w:eastAsiaTheme="minorEastAsia" w:cstheme="minorEastAsia"/>
          <w:color w:val="auto"/>
        </w:rPr>
      </w:pPr>
    </w:p>
    <w:p w14:paraId="005B3955">
      <w:pPr>
        <w:pStyle w:val="2"/>
        <w:rPr>
          <w:rFonts w:asciiTheme="minorEastAsia" w:hAnsiTheme="minorEastAsia" w:eastAsiaTheme="minorEastAsia" w:cstheme="minorEastAsia"/>
          <w:color w:val="auto"/>
        </w:rPr>
      </w:pPr>
    </w:p>
    <w:p w14:paraId="190E7860">
      <w:pPr>
        <w:pStyle w:val="2"/>
        <w:rPr>
          <w:rFonts w:asciiTheme="minorEastAsia" w:hAnsiTheme="minorEastAsia" w:eastAsiaTheme="minorEastAsia" w:cstheme="minorEastAsia"/>
          <w:color w:val="auto"/>
        </w:rPr>
      </w:pPr>
    </w:p>
    <w:p w14:paraId="24D3D664">
      <w:pPr>
        <w:pStyle w:val="2"/>
        <w:rPr>
          <w:rFonts w:asciiTheme="minorEastAsia" w:hAnsiTheme="minorEastAsia" w:eastAsiaTheme="minorEastAsia" w:cstheme="minorEastAsia"/>
          <w:color w:val="auto"/>
        </w:rPr>
      </w:pPr>
    </w:p>
    <w:p w14:paraId="5A5010F1">
      <w:pPr>
        <w:pStyle w:val="2"/>
        <w:rPr>
          <w:rFonts w:asciiTheme="minorEastAsia" w:hAnsiTheme="minorEastAsia" w:eastAsiaTheme="minorEastAsia" w:cstheme="minorEastAsia"/>
          <w:color w:val="auto"/>
        </w:rPr>
      </w:pPr>
    </w:p>
    <w:p w14:paraId="4FC78AED">
      <w:pPr>
        <w:pStyle w:val="2"/>
        <w:rPr>
          <w:rFonts w:asciiTheme="minorEastAsia" w:hAnsiTheme="minorEastAsia" w:eastAsiaTheme="minorEastAsia" w:cstheme="minorEastAsia"/>
          <w:color w:val="auto"/>
        </w:rPr>
      </w:pPr>
    </w:p>
    <w:p w14:paraId="6889AB02">
      <w:pPr>
        <w:pStyle w:val="2"/>
        <w:rPr>
          <w:rFonts w:asciiTheme="minorEastAsia" w:hAnsiTheme="minorEastAsia" w:eastAsiaTheme="minorEastAsia" w:cstheme="minorEastAsia"/>
          <w:color w:val="auto"/>
        </w:rPr>
      </w:pPr>
    </w:p>
    <w:p w14:paraId="1932B9D1">
      <w:pPr>
        <w:pStyle w:val="2"/>
        <w:rPr>
          <w:rFonts w:asciiTheme="minorEastAsia" w:hAnsiTheme="minorEastAsia" w:eastAsiaTheme="minorEastAsia" w:cstheme="minorEastAsia"/>
          <w:color w:val="auto"/>
        </w:rPr>
      </w:pPr>
    </w:p>
    <w:p w14:paraId="5A9EFB11">
      <w:pPr>
        <w:pStyle w:val="2"/>
        <w:rPr>
          <w:rFonts w:asciiTheme="minorEastAsia" w:hAnsiTheme="minorEastAsia" w:eastAsiaTheme="minorEastAsia" w:cstheme="minorEastAsia"/>
          <w:color w:val="auto"/>
        </w:rPr>
      </w:pPr>
    </w:p>
    <w:p w14:paraId="17799D54">
      <w:pPr>
        <w:pStyle w:val="2"/>
        <w:rPr>
          <w:rFonts w:asciiTheme="minorEastAsia" w:hAnsiTheme="minorEastAsia" w:eastAsiaTheme="minorEastAsia" w:cstheme="minorEastAsia"/>
          <w:color w:val="auto"/>
        </w:rPr>
      </w:pPr>
    </w:p>
    <w:p w14:paraId="58C3867F">
      <w:pPr>
        <w:pStyle w:val="2"/>
        <w:rPr>
          <w:rFonts w:asciiTheme="minorEastAsia" w:hAnsiTheme="minorEastAsia" w:eastAsiaTheme="minorEastAsia" w:cstheme="minorEastAsia"/>
          <w:color w:val="auto"/>
        </w:rPr>
      </w:pPr>
    </w:p>
    <w:p w14:paraId="49085541">
      <w:pPr>
        <w:spacing w:line="440" w:lineRule="exact"/>
        <w:outlineLvl w:val="0"/>
        <w:rPr>
          <w:rFonts w:ascii="宋体" w:hAnsi="宋体" w:cs="宋体"/>
          <w:b/>
          <w:sz w:val="28"/>
          <w:szCs w:val="28"/>
        </w:rPr>
      </w:pPr>
      <w:r>
        <w:rPr>
          <w:rFonts w:hint="eastAsia" w:ascii="宋体" w:hAnsi="宋体" w:cs="宋体"/>
          <w:b/>
          <w:sz w:val="28"/>
          <w:szCs w:val="28"/>
        </w:rPr>
        <w:t xml:space="preserve">格式7                         售后服务承诺 </w:t>
      </w:r>
    </w:p>
    <w:p w14:paraId="2E38E581">
      <w:pPr>
        <w:pStyle w:val="9"/>
        <w:spacing w:line="360" w:lineRule="auto"/>
        <w:rPr>
          <w:rFonts w:ascii="宋体" w:hAnsi="宋体" w:cs="宋体"/>
          <w:sz w:val="24"/>
          <w:szCs w:val="24"/>
        </w:rPr>
      </w:pPr>
    </w:p>
    <w:p w14:paraId="2279C182">
      <w:pPr>
        <w:pStyle w:val="9"/>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泉州师范学院（泉州师范学院图书馆）      </w:t>
      </w:r>
    </w:p>
    <w:p w14:paraId="4EAAC336">
      <w:pPr>
        <w:pStyle w:val="15"/>
        <w:widowControl/>
        <w:ind w:firstLine="336"/>
        <w:rPr>
          <w:rFonts w:asciiTheme="minorEastAsia" w:hAnsiTheme="minorEastAsia" w:eastAsiaTheme="minorEastAsia" w:cstheme="minorEastAsia"/>
        </w:rPr>
      </w:pPr>
    </w:p>
    <w:p w14:paraId="60CDDC49">
      <w:pPr>
        <w:pStyle w:val="15"/>
        <w:widowControl/>
        <w:ind w:firstLine="336"/>
        <w:rPr>
          <w:rFonts w:asciiTheme="minorEastAsia" w:hAnsiTheme="minorEastAsia" w:eastAsiaTheme="minorEastAsia" w:cstheme="minorEastAsia"/>
        </w:rPr>
      </w:pPr>
    </w:p>
    <w:p w14:paraId="135AE18E">
      <w:pPr>
        <w:pStyle w:val="15"/>
        <w:widowControl/>
        <w:ind w:firstLine="336"/>
        <w:rPr>
          <w:rFonts w:asciiTheme="minorEastAsia" w:hAnsiTheme="minorEastAsia" w:eastAsiaTheme="minorEastAsia" w:cstheme="minorEastAsia"/>
        </w:rPr>
      </w:pPr>
    </w:p>
    <w:p w14:paraId="0B86C853">
      <w:pPr>
        <w:pStyle w:val="15"/>
        <w:widowControl/>
        <w:ind w:firstLine="336"/>
        <w:rPr>
          <w:rFonts w:asciiTheme="minorEastAsia" w:hAnsiTheme="minorEastAsia" w:eastAsiaTheme="minorEastAsia" w:cstheme="minorEastAsia"/>
        </w:rPr>
      </w:pPr>
    </w:p>
    <w:p w14:paraId="46148AD9">
      <w:pPr>
        <w:pStyle w:val="15"/>
        <w:widowControl/>
        <w:ind w:firstLine="336"/>
        <w:rPr>
          <w:rFonts w:asciiTheme="minorEastAsia" w:hAnsiTheme="minorEastAsia" w:eastAsiaTheme="minorEastAsia" w:cstheme="minorEastAsia"/>
        </w:rPr>
      </w:pPr>
    </w:p>
    <w:p w14:paraId="3F375000">
      <w:pPr>
        <w:pStyle w:val="15"/>
        <w:widowControl/>
        <w:ind w:firstLine="336"/>
        <w:rPr>
          <w:rFonts w:asciiTheme="minorEastAsia" w:hAnsiTheme="minorEastAsia" w:eastAsiaTheme="minorEastAsia" w:cstheme="minorEastAsia"/>
        </w:rPr>
      </w:pPr>
    </w:p>
    <w:p w14:paraId="7840A151">
      <w:pPr>
        <w:pStyle w:val="15"/>
        <w:widowControl/>
        <w:ind w:firstLine="336"/>
        <w:rPr>
          <w:rFonts w:asciiTheme="minorEastAsia" w:hAnsiTheme="minorEastAsia" w:eastAsiaTheme="minorEastAsia" w:cstheme="minorEastAsia"/>
        </w:rPr>
      </w:pPr>
    </w:p>
    <w:p w14:paraId="21BF2443">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47439E8">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67D53C5">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4C950CDD">
      <w:pPr>
        <w:pStyle w:val="2"/>
        <w:rPr>
          <w:rFonts w:asciiTheme="minorEastAsia" w:hAnsiTheme="minorEastAsia" w:eastAsiaTheme="minorEastAsia" w:cstheme="minorEastAsia"/>
          <w:color w:val="auto"/>
        </w:rPr>
      </w:pPr>
    </w:p>
    <w:p w14:paraId="6ABEC7B9">
      <w:pPr>
        <w:pStyle w:val="2"/>
        <w:rPr>
          <w:rFonts w:asciiTheme="minorEastAsia" w:hAnsiTheme="minorEastAsia" w:eastAsiaTheme="minorEastAsia" w:cstheme="minorEastAsia"/>
          <w:color w:val="auto"/>
        </w:rPr>
      </w:pPr>
    </w:p>
    <w:p w14:paraId="4632C6AA">
      <w:pPr>
        <w:pStyle w:val="2"/>
        <w:rPr>
          <w:rFonts w:asciiTheme="minorEastAsia" w:hAnsiTheme="minorEastAsia" w:eastAsiaTheme="minorEastAsia" w:cstheme="minorEastAsia"/>
          <w:color w:val="auto"/>
        </w:rPr>
      </w:pPr>
    </w:p>
    <w:p w14:paraId="5EFD8685">
      <w:pPr>
        <w:pStyle w:val="2"/>
        <w:rPr>
          <w:rFonts w:asciiTheme="minorEastAsia" w:hAnsiTheme="minorEastAsia" w:eastAsiaTheme="minorEastAsia" w:cstheme="minorEastAsia"/>
          <w:color w:val="auto"/>
        </w:rPr>
      </w:pPr>
    </w:p>
    <w:p w14:paraId="1DCB1052">
      <w:pPr>
        <w:pStyle w:val="2"/>
        <w:rPr>
          <w:rFonts w:asciiTheme="minorEastAsia" w:hAnsiTheme="minorEastAsia" w:eastAsiaTheme="minorEastAsia" w:cstheme="minorEastAsia"/>
          <w:color w:val="auto"/>
        </w:rPr>
      </w:pPr>
    </w:p>
    <w:p w14:paraId="7F40734C">
      <w:pPr>
        <w:pStyle w:val="2"/>
        <w:rPr>
          <w:rFonts w:asciiTheme="minorEastAsia" w:hAnsiTheme="minorEastAsia" w:eastAsiaTheme="minorEastAsia" w:cstheme="minorEastAsia"/>
          <w:color w:val="auto"/>
        </w:rPr>
      </w:pPr>
    </w:p>
    <w:p w14:paraId="367DCB38">
      <w:pPr>
        <w:pStyle w:val="2"/>
        <w:rPr>
          <w:rFonts w:asciiTheme="minorEastAsia" w:hAnsiTheme="minorEastAsia" w:eastAsiaTheme="minorEastAsia" w:cstheme="minorEastAsia"/>
          <w:color w:val="auto"/>
        </w:rPr>
      </w:pPr>
    </w:p>
    <w:p w14:paraId="35A84905">
      <w:pPr>
        <w:pStyle w:val="2"/>
        <w:rPr>
          <w:rFonts w:asciiTheme="minorEastAsia" w:hAnsiTheme="minorEastAsia" w:eastAsiaTheme="minorEastAsia" w:cstheme="minorEastAsia"/>
          <w:color w:val="auto"/>
        </w:rPr>
      </w:pPr>
    </w:p>
    <w:p w14:paraId="1C95DD19">
      <w:pPr>
        <w:pStyle w:val="2"/>
        <w:rPr>
          <w:rFonts w:asciiTheme="minorEastAsia" w:hAnsiTheme="minorEastAsia" w:eastAsiaTheme="minorEastAsia" w:cstheme="minorEastAsia"/>
          <w:color w:val="auto"/>
        </w:rPr>
      </w:pPr>
    </w:p>
    <w:p w14:paraId="2CB6EA73">
      <w:pPr>
        <w:pStyle w:val="2"/>
        <w:rPr>
          <w:rFonts w:asciiTheme="minorEastAsia" w:hAnsiTheme="minorEastAsia" w:eastAsiaTheme="minorEastAsia" w:cstheme="minorEastAsia"/>
          <w:color w:val="auto"/>
        </w:rPr>
      </w:pPr>
    </w:p>
    <w:p w14:paraId="3C366F36">
      <w:pPr>
        <w:pStyle w:val="2"/>
        <w:rPr>
          <w:rFonts w:asciiTheme="minorEastAsia" w:hAnsiTheme="minorEastAsia" w:eastAsiaTheme="minorEastAsia" w:cstheme="minorEastAsia"/>
          <w:color w:val="auto"/>
        </w:rPr>
      </w:pPr>
    </w:p>
    <w:p w14:paraId="60671F26">
      <w:pPr>
        <w:pStyle w:val="2"/>
        <w:rPr>
          <w:rFonts w:asciiTheme="minorEastAsia" w:hAnsiTheme="minorEastAsia" w:eastAsiaTheme="minorEastAsia" w:cstheme="minorEastAsia"/>
          <w:color w:val="auto"/>
        </w:rPr>
      </w:pPr>
    </w:p>
    <w:p w14:paraId="1AC38635">
      <w:pPr>
        <w:pStyle w:val="2"/>
        <w:rPr>
          <w:rFonts w:asciiTheme="minorEastAsia" w:hAnsiTheme="minorEastAsia" w:eastAsiaTheme="minorEastAsia" w:cstheme="minorEastAsia"/>
          <w:color w:val="auto"/>
        </w:rPr>
      </w:pPr>
    </w:p>
    <w:p w14:paraId="369A5753">
      <w:pPr>
        <w:pStyle w:val="2"/>
        <w:rPr>
          <w:rFonts w:asciiTheme="minorEastAsia" w:hAnsiTheme="minorEastAsia" w:eastAsiaTheme="minorEastAsia" w:cstheme="minorEastAsia"/>
          <w:color w:val="auto"/>
        </w:rPr>
      </w:pPr>
    </w:p>
    <w:p w14:paraId="2959B6EC">
      <w:pPr>
        <w:pStyle w:val="2"/>
        <w:rPr>
          <w:rFonts w:asciiTheme="minorEastAsia" w:hAnsiTheme="minorEastAsia" w:eastAsiaTheme="minorEastAsia" w:cstheme="minorEastAsia"/>
          <w:color w:val="auto"/>
        </w:rPr>
      </w:pPr>
    </w:p>
    <w:p w14:paraId="6D77EEB9">
      <w:pPr>
        <w:pStyle w:val="2"/>
        <w:rPr>
          <w:rFonts w:asciiTheme="minorEastAsia" w:hAnsiTheme="minorEastAsia" w:eastAsiaTheme="minorEastAsia" w:cstheme="minorEastAsia"/>
          <w:color w:val="auto"/>
        </w:rPr>
      </w:pPr>
    </w:p>
    <w:p w14:paraId="49FE80E2">
      <w:pPr>
        <w:pStyle w:val="2"/>
        <w:rPr>
          <w:rFonts w:asciiTheme="minorEastAsia" w:hAnsiTheme="minorEastAsia" w:eastAsiaTheme="minorEastAsia" w:cstheme="minorEastAsia"/>
          <w:color w:val="auto"/>
        </w:rPr>
      </w:pPr>
    </w:p>
    <w:p w14:paraId="06F9D273">
      <w:pPr>
        <w:pStyle w:val="2"/>
        <w:rPr>
          <w:rFonts w:asciiTheme="minorEastAsia" w:hAnsiTheme="minorEastAsia" w:eastAsiaTheme="minorEastAsia" w:cstheme="minorEastAsia"/>
          <w:color w:val="auto"/>
        </w:rPr>
      </w:pPr>
    </w:p>
    <w:p w14:paraId="026B0688">
      <w:pPr>
        <w:pStyle w:val="2"/>
        <w:rPr>
          <w:rFonts w:asciiTheme="minorEastAsia" w:hAnsiTheme="minorEastAsia" w:eastAsiaTheme="minorEastAsia" w:cstheme="minorEastAsia"/>
          <w:color w:val="auto"/>
        </w:rPr>
      </w:pPr>
    </w:p>
    <w:sectPr>
      <w:pgSz w:w="11850" w:h="16783"/>
      <w:pgMar w:top="1134" w:right="1134" w:bottom="851" w:left="1247"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10209" w:type="dxa"/>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6C980C1">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240D7C46">
          <w:pPr>
            <w:pStyle w:val="11"/>
            <w:tabs>
              <w:tab w:val="clear" w:pos="4153"/>
              <w:tab w:val="clear" w:pos="8306"/>
            </w:tabs>
            <w:ind w:right="360"/>
            <w:jc w:val="both"/>
          </w:pPr>
          <w: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path/>
                <v:fill on="f" focussize="0,0"/>
                <v:stroke on="f" weight="0.5pt" joinstyle="miter"/>
                <v:imagedata o:title=""/>
                <o:lock v:ext="edit"/>
                <v:textbox inset="0mm,0mm,0mm,0mm" style="mso-fit-shape-to-text:t;">
                  <w:txbxContent>
                    <w:p w14:paraId="099229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r>
            <w:rPr>
              <w:rFonts w:hint="eastAsia"/>
            </w:rPr>
            <w:t xml:space="preserve">福建诚信招标有限公司                          联系电话：0595-22507198、22507298                     </w:t>
          </w:r>
        </w:p>
      </w:tc>
    </w:tr>
  </w:tbl>
  <w:p w14:paraId="6A5D14C6">
    <w:pPr>
      <w:pStyle w:val="1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B700F">
    <w:pPr>
      <w:pStyle w:val="11"/>
      <w:framePr w:wrap="around" w:vAnchor="text" w:hAnchor="margin" w:xAlign="right" w:y="1"/>
      <w:rPr>
        <w:rStyle w:val="23"/>
      </w:rPr>
    </w:pPr>
    <w:r>
      <w:fldChar w:fldCharType="begin"/>
    </w:r>
    <w:r>
      <w:rPr>
        <w:rStyle w:val="23"/>
      </w:rPr>
      <w:instrText xml:space="preserve">PAGE  </w:instrText>
    </w:r>
    <w:r>
      <w:fldChar w:fldCharType="end"/>
    </w:r>
  </w:p>
  <w:p w14:paraId="7E637DFC">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F52BD">
    <w:pPr>
      <w:pStyle w:val="11"/>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path/>
          <v:fill on="f" focussize="0,0"/>
          <v:stroke on="f" weight="0.5pt" joinstyle="miter"/>
          <v:imagedata o:title=""/>
          <o:lock v:ext="edit"/>
          <v:textbox inset="0mm,0mm,0mm,0mm" style="mso-fit-shape-to-text:t;">
            <w:txbxContent>
              <w:p w14:paraId="079A972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10209" w:type="dxa"/>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7CEEF996">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5BC8CB97">
          <w:pPr>
            <w:pStyle w:val="11"/>
            <w:tabs>
              <w:tab w:val="clear" w:pos="4153"/>
              <w:tab w:val="clear" w:pos="8306"/>
            </w:tabs>
            <w:ind w:right="360"/>
            <w:jc w:val="both"/>
          </w:pPr>
          <w:r>
            <w:pict>
              <v:shape id="_x0000_s1028" o:spid="_x0000_s1028"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path/>
                <v:fill on="f" focussize="0,0"/>
                <v:stroke on="f" weight="0.5pt" joinstyle="miter"/>
                <v:imagedata o:title=""/>
                <o:lock v:ext="edit"/>
                <v:textbox inset="0mm,0mm,0mm,0mm" style="mso-fit-shape-to-text:t;">
                  <w:txbxContent>
                    <w:p w14:paraId="57649E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w: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51CA2A49">
                      <w:pPr>
                        <w:pStyle w:val="11"/>
                      </w:pPr>
                    </w:p>
                  </w:txbxContent>
                </v:textbox>
              </v:shape>
            </w:pict>
          </w:r>
        </w:p>
      </w:tc>
    </w:tr>
  </w:tbl>
  <w:p w14:paraId="209C3B94">
    <w:pPr>
      <w:pStyle w:val="11"/>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4ECE5">
    <w:pPr>
      <w:pStyle w:val="11"/>
    </w:pPr>
    <w:r>
      <w:pict>
        <v:shape id="_x0000_s1029" o:spid="_x0000_s102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14:paraId="6CE0CAD8">
                <w:pPr>
                  <w:pStyle w:val="11"/>
                </w:pPr>
                <w:r>
                  <w:fldChar w:fldCharType="begin"/>
                </w:r>
                <w:r>
                  <w:instrText xml:space="preserve"> PAGE  \* MERGEFORMAT </w:instrText>
                </w:r>
                <w:r>
                  <w:fldChar w:fldCharType="separate"/>
                </w:r>
                <w:r>
                  <w:t>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B3EB">
    <w:pPr>
      <w:pStyle w:val="12"/>
      <w:tabs>
        <w:tab w:val="clear" w:pos="4153"/>
        <w:tab w:val="clear" w:pos="8306"/>
      </w:tabs>
      <w:jc w:val="both"/>
    </w:pPr>
    <w:r>
      <w:rPr>
        <w:rFonts w:hint="eastAsia"/>
      </w:rPr>
      <w:t xml:space="preserve">询价文件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EFC92">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B11EF">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cyNWY5MWRmZDQyYmZlNGEyZWMzYmZhNjA2MmNiYjQifQ=="/>
  </w:docVars>
  <w:rsids>
    <w:rsidRoot w:val="59835B2E"/>
    <w:rsid w:val="00035BE8"/>
    <w:rsid w:val="000371E3"/>
    <w:rsid w:val="00095BB0"/>
    <w:rsid w:val="000A12F7"/>
    <w:rsid w:val="000E48F8"/>
    <w:rsid w:val="001071B4"/>
    <w:rsid w:val="001218FD"/>
    <w:rsid w:val="001562CC"/>
    <w:rsid w:val="00163A52"/>
    <w:rsid w:val="00180342"/>
    <w:rsid w:val="0018484A"/>
    <w:rsid w:val="001B5C07"/>
    <w:rsid w:val="001F0E0C"/>
    <w:rsid w:val="002446AE"/>
    <w:rsid w:val="002537B1"/>
    <w:rsid w:val="002A58B1"/>
    <w:rsid w:val="002B4DC2"/>
    <w:rsid w:val="002F2C32"/>
    <w:rsid w:val="002F45B2"/>
    <w:rsid w:val="002F461D"/>
    <w:rsid w:val="002F47C8"/>
    <w:rsid w:val="00302655"/>
    <w:rsid w:val="00313D17"/>
    <w:rsid w:val="003759BB"/>
    <w:rsid w:val="003E7259"/>
    <w:rsid w:val="00433946"/>
    <w:rsid w:val="004F41EA"/>
    <w:rsid w:val="00594E16"/>
    <w:rsid w:val="005A06EB"/>
    <w:rsid w:val="005B2428"/>
    <w:rsid w:val="005F60E5"/>
    <w:rsid w:val="00606614"/>
    <w:rsid w:val="00685299"/>
    <w:rsid w:val="00685516"/>
    <w:rsid w:val="00691F6F"/>
    <w:rsid w:val="00697447"/>
    <w:rsid w:val="006D03BB"/>
    <w:rsid w:val="007136F1"/>
    <w:rsid w:val="0071599A"/>
    <w:rsid w:val="0074459C"/>
    <w:rsid w:val="00757EF2"/>
    <w:rsid w:val="00760A29"/>
    <w:rsid w:val="0076377C"/>
    <w:rsid w:val="007723DF"/>
    <w:rsid w:val="00774EF3"/>
    <w:rsid w:val="00820984"/>
    <w:rsid w:val="00835578"/>
    <w:rsid w:val="008554A4"/>
    <w:rsid w:val="0098674C"/>
    <w:rsid w:val="00A25BA9"/>
    <w:rsid w:val="00A83D1E"/>
    <w:rsid w:val="00AB184D"/>
    <w:rsid w:val="00B37E4E"/>
    <w:rsid w:val="00B54161"/>
    <w:rsid w:val="00BE4421"/>
    <w:rsid w:val="00C27F7B"/>
    <w:rsid w:val="00C65121"/>
    <w:rsid w:val="00C707C8"/>
    <w:rsid w:val="00C7234D"/>
    <w:rsid w:val="00CB7138"/>
    <w:rsid w:val="00D32502"/>
    <w:rsid w:val="00DC34CC"/>
    <w:rsid w:val="00DD28BF"/>
    <w:rsid w:val="00DE2D2C"/>
    <w:rsid w:val="00E23E6B"/>
    <w:rsid w:val="00E33481"/>
    <w:rsid w:val="00E433AC"/>
    <w:rsid w:val="00E90E70"/>
    <w:rsid w:val="00EB7BD7"/>
    <w:rsid w:val="00EF1929"/>
    <w:rsid w:val="00F2511F"/>
    <w:rsid w:val="00F343E1"/>
    <w:rsid w:val="00F63A56"/>
    <w:rsid w:val="00F806C0"/>
    <w:rsid w:val="00F8212C"/>
    <w:rsid w:val="00FD057B"/>
    <w:rsid w:val="027642E9"/>
    <w:rsid w:val="034E4A21"/>
    <w:rsid w:val="074B01AD"/>
    <w:rsid w:val="0E8D13D6"/>
    <w:rsid w:val="0F44355D"/>
    <w:rsid w:val="115376E2"/>
    <w:rsid w:val="11DC3A9F"/>
    <w:rsid w:val="16F7028D"/>
    <w:rsid w:val="173A664E"/>
    <w:rsid w:val="1B9F11A7"/>
    <w:rsid w:val="1C4B3D8B"/>
    <w:rsid w:val="1D974856"/>
    <w:rsid w:val="1DD464FF"/>
    <w:rsid w:val="206919F1"/>
    <w:rsid w:val="299802D6"/>
    <w:rsid w:val="29AD768A"/>
    <w:rsid w:val="2CEB06B4"/>
    <w:rsid w:val="2EFC2B3B"/>
    <w:rsid w:val="30EC4E63"/>
    <w:rsid w:val="32FB2F01"/>
    <w:rsid w:val="33C33694"/>
    <w:rsid w:val="3643461A"/>
    <w:rsid w:val="36C457CC"/>
    <w:rsid w:val="37914F7F"/>
    <w:rsid w:val="38641F41"/>
    <w:rsid w:val="3B1925BB"/>
    <w:rsid w:val="3B6C1D7D"/>
    <w:rsid w:val="3E002010"/>
    <w:rsid w:val="3F2E1764"/>
    <w:rsid w:val="451F1798"/>
    <w:rsid w:val="4C1307C4"/>
    <w:rsid w:val="4C65575F"/>
    <w:rsid w:val="4C9808FB"/>
    <w:rsid w:val="4D110360"/>
    <w:rsid w:val="4E487C6D"/>
    <w:rsid w:val="4F123E7A"/>
    <w:rsid w:val="55794C66"/>
    <w:rsid w:val="55CD64D1"/>
    <w:rsid w:val="55D751F9"/>
    <w:rsid w:val="59835B2E"/>
    <w:rsid w:val="5AE34496"/>
    <w:rsid w:val="5BDE134F"/>
    <w:rsid w:val="5D654BBF"/>
    <w:rsid w:val="600B2EF6"/>
    <w:rsid w:val="607C050A"/>
    <w:rsid w:val="677F3E55"/>
    <w:rsid w:val="68735896"/>
    <w:rsid w:val="69690D6B"/>
    <w:rsid w:val="6B7D3D34"/>
    <w:rsid w:val="6D3F5C0C"/>
    <w:rsid w:val="6E7C68DA"/>
    <w:rsid w:val="6E9A7D81"/>
    <w:rsid w:val="718F5027"/>
    <w:rsid w:val="726C6FA6"/>
    <w:rsid w:val="731E2BC7"/>
    <w:rsid w:val="736C78EA"/>
    <w:rsid w:val="73D2014D"/>
    <w:rsid w:val="780B365B"/>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21">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rPr>
  </w:style>
  <w:style w:type="paragraph" w:styleId="8">
    <w:name w:val="Body Text Indent"/>
    <w:basedOn w:val="1"/>
    <w:qFormat/>
    <w:uiPriority w:val="0"/>
    <w:pPr>
      <w:ind w:firstLine="560" w:firstLineChars="200"/>
    </w:pPr>
    <w:rPr>
      <w:rFonts w:ascii="宋体" w:hAnsi="宋体"/>
      <w:sz w:val="28"/>
    </w:rPr>
  </w:style>
  <w:style w:type="paragraph" w:styleId="9">
    <w:name w:val="Date"/>
    <w:basedOn w:val="1"/>
    <w:next w:val="1"/>
    <w:qFormat/>
    <w:uiPriority w:val="0"/>
    <w:rPr>
      <w:sz w:val="28"/>
      <w:szCs w:val="20"/>
    </w:rPr>
  </w:style>
  <w:style w:type="paragraph" w:styleId="10">
    <w:name w:val="Balloon Text"/>
    <w:basedOn w:val="1"/>
    <w:link w:val="28"/>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4">
    <w:name w:val="toc 2"/>
    <w:basedOn w:val="1"/>
    <w:next w:val="1"/>
    <w:qFormat/>
    <w:uiPriority w:val="0"/>
    <w:pPr>
      <w:ind w:left="420" w:leftChars="200"/>
    </w:p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Title"/>
    <w:basedOn w:val="1"/>
    <w:next w:val="1"/>
    <w:qFormat/>
    <w:uiPriority w:val="0"/>
    <w:pPr>
      <w:jc w:val="center"/>
    </w:pPr>
    <w:rPr>
      <w:rFonts w:ascii="Arial Black" w:hAnsi="Arial Black" w:cs="Arial Black"/>
      <w:i/>
      <w:iCs/>
      <w:sz w:val="48"/>
      <w:szCs w:val="48"/>
    </w:rPr>
  </w:style>
  <w:style w:type="paragraph" w:styleId="17">
    <w:name w:val="annotation subject"/>
    <w:basedOn w:val="6"/>
    <w:next w:val="6"/>
    <w:qFormat/>
    <w:uiPriority w:val="0"/>
    <w:rPr>
      <w:rFonts w:ascii="宋体" w:hAnsi="Courier New"/>
      <w:szCs w:val="20"/>
    </w:rPr>
  </w:style>
  <w:style w:type="paragraph" w:styleId="18">
    <w:name w:val="Body Text First Indent"/>
    <w:basedOn w:val="7"/>
    <w:unhideWhenUsed/>
    <w:qFormat/>
    <w:uiPriority w:val="0"/>
    <w:pPr>
      <w:ind w:firstLine="420" w:firstLineChars="100"/>
    </w:pPr>
  </w:style>
  <w:style w:type="paragraph" w:styleId="19">
    <w:name w:val="Body Text First Indent 2"/>
    <w:basedOn w:val="8"/>
    <w:qFormat/>
    <w:uiPriority w:val="0"/>
    <w:pPr>
      <w:spacing w:beforeLines="50" w:afterLines="50" w:line="360" w:lineRule="auto"/>
      <w:ind w:left="480" w:firstLine="360"/>
      <w:jc w:val="left"/>
    </w:pPr>
    <w:rPr>
      <w:rFonts w:ascii="Times New Roman" w:hAnsi="Times New Roman"/>
      <w:sz w:val="24"/>
    </w:rPr>
  </w:style>
  <w:style w:type="character" w:styleId="22">
    <w:name w:val="Strong"/>
    <w:basedOn w:val="21"/>
    <w:qFormat/>
    <w:uiPriority w:val="0"/>
    <w:rPr>
      <w:b/>
    </w:rPr>
  </w:style>
  <w:style w:type="character" w:styleId="23">
    <w:name w:val="page number"/>
    <w:qFormat/>
    <w:uiPriority w:val="0"/>
  </w:style>
  <w:style w:type="character" w:styleId="24">
    <w:name w:val="Hyperlink"/>
    <w:qFormat/>
    <w:uiPriority w:val="99"/>
    <w:rPr>
      <w:color w:val="0000FF"/>
      <w:u w:val="single"/>
    </w:rPr>
  </w:style>
  <w:style w:type="paragraph" w:customStyle="1" w:styleId="25">
    <w:name w:val="ptdl"/>
    <w:basedOn w:val="1"/>
    <w:qFormat/>
    <w:uiPriority w:val="0"/>
    <w:pPr>
      <w:spacing w:after="156"/>
      <w:ind w:firstLine="480"/>
    </w:pPr>
    <w:rPr>
      <w:sz w:val="24"/>
      <w:szCs w:val="20"/>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8">
    <w:name w:val="批注框文本 Char"/>
    <w:basedOn w:val="21"/>
    <w:link w:val="1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0"/>
    <customShpInfo spid="_x0000_s1026"/>
    <customShpInfo spid="_x0000_s1028"/>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1093</Words>
  <Characters>1171</Characters>
  <Lines>28</Lines>
  <Paragraphs>22</Paragraphs>
  <TotalTime>103</TotalTime>
  <ScaleCrop>false</ScaleCrop>
  <LinksUpToDate>false</LinksUpToDate>
  <CharactersWithSpaces>1496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2022-12-10T00:31:00Z</dcterms:created>
  <dc:creator>搁浅</dc:creator>
  <cp:lastModifiedBy>HBKANG</cp:lastModifiedBy>
  <cp:lastPrinted>2021-11-24T07:21:00Z</cp:lastPrinted>
  <dcterms:modified xsi:type="dcterms:W3CDTF">2025-05-19T02:21:07Z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E576BFDBA2F14CD1B5BFDAEC536C932D</vt:lpwstr>
  </property>
  <property fmtid="{D5CDD505-2E9C-101B-9397-08002B2CF9AE}" pid="4" name="KSOTemplateDocerSaveRecord">
    <vt:lpwstr>eyJoZGlkIjoiMTcyNWY5MWRmZDQyYmZlNGEyZWMzYmZhNjA2MmNiYjQiLCJ1c2VySWQiOiI0NDcyNjU5MDQifQ==</vt:lpwstr>
  </property>
</Properties>
</file>